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622C1" w14:textId="63B863BD" w:rsidR="0010144B" w:rsidRPr="00F31758" w:rsidRDefault="00003E0C" w:rsidP="0010144B">
      <w:pPr>
        <w:pStyle w:val="Header"/>
        <w:tabs>
          <w:tab w:val="clear" w:pos="9026"/>
          <w:tab w:val="center" w:pos="3722"/>
          <w:tab w:val="left" w:pos="6096"/>
        </w:tabs>
        <w:jc w:val="center"/>
        <w:rPr>
          <w:b/>
          <w:color w:val="0F243E" w:themeColor="text2" w:themeShade="80"/>
          <w:sz w:val="28"/>
          <w:szCs w:val="28"/>
        </w:rPr>
      </w:pPr>
      <w:r w:rsidRPr="00F31758">
        <w:rPr>
          <w:b/>
          <w:noProof/>
          <w:color w:val="0F243E" w:themeColor="text2" w:themeShade="80"/>
          <w:sz w:val="28"/>
          <w:szCs w:val="28"/>
          <w:lang w:eastAsia="en-GB"/>
        </w:rPr>
        <w:t>Watling Park</w:t>
      </w:r>
      <w:r w:rsidR="0010144B" w:rsidRPr="00F31758">
        <w:rPr>
          <w:b/>
          <w:color w:val="0F243E" w:themeColor="text2" w:themeShade="80"/>
          <w:sz w:val="28"/>
          <w:szCs w:val="28"/>
        </w:rPr>
        <w:t xml:space="preserve"> School</w:t>
      </w:r>
    </w:p>
    <w:p w14:paraId="49201A08" w14:textId="77777777" w:rsidR="0010144B" w:rsidRPr="00F31758" w:rsidRDefault="0010144B" w:rsidP="0010144B">
      <w:pPr>
        <w:pStyle w:val="Header"/>
        <w:tabs>
          <w:tab w:val="clear" w:pos="4513"/>
          <w:tab w:val="center" w:pos="3686"/>
        </w:tabs>
        <w:ind w:left="-851" w:firstLine="851"/>
        <w:jc w:val="center"/>
        <w:rPr>
          <w:b/>
          <w:color w:val="0F243E" w:themeColor="text2" w:themeShade="80"/>
          <w:sz w:val="28"/>
          <w:szCs w:val="28"/>
        </w:rPr>
      </w:pPr>
      <w:r w:rsidRPr="00F31758">
        <w:rPr>
          <w:b/>
          <w:color w:val="0F243E" w:themeColor="text2" w:themeShade="80"/>
          <w:sz w:val="28"/>
          <w:szCs w:val="28"/>
        </w:rPr>
        <w:t>Pupil Premium Action Plan 2015-2016</w:t>
      </w:r>
    </w:p>
    <w:p w14:paraId="6F938F87" w14:textId="77777777" w:rsidR="0010144B" w:rsidRDefault="0010144B" w:rsidP="000E72F4">
      <w:pPr>
        <w:spacing w:after="0" w:line="240" w:lineRule="auto"/>
        <w:jc w:val="both"/>
        <w:rPr>
          <w:b/>
        </w:rPr>
      </w:pPr>
    </w:p>
    <w:p w14:paraId="61865434" w14:textId="77777777" w:rsidR="003C79A5" w:rsidRDefault="003C79A5" w:rsidP="000E72F4">
      <w:pPr>
        <w:spacing w:after="0" w:line="240" w:lineRule="auto"/>
        <w:jc w:val="both"/>
        <w:rPr>
          <w:b/>
        </w:rPr>
      </w:pPr>
    </w:p>
    <w:p w14:paraId="0AF61A18" w14:textId="77777777" w:rsidR="006754E3" w:rsidRPr="000E72F4" w:rsidRDefault="006754E3" w:rsidP="000E72F4">
      <w:pPr>
        <w:spacing w:after="0" w:line="240" w:lineRule="auto"/>
        <w:jc w:val="both"/>
        <w:rPr>
          <w:b/>
        </w:rPr>
      </w:pPr>
      <w:r w:rsidRPr="000E72F4">
        <w:rPr>
          <w:b/>
        </w:rPr>
        <w:t>Person Responsible: Head teacher</w:t>
      </w:r>
    </w:p>
    <w:p w14:paraId="1E53BB80" w14:textId="77777777" w:rsidR="006754E3" w:rsidRPr="000E72F4" w:rsidRDefault="006754E3" w:rsidP="000E72F4">
      <w:pPr>
        <w:spacing w:after="0" w:line="240" w:lineRule="auto"/>
        <w:jc w:val="both"/>
        <w:rPr>
          <w:b/>
        </w:rPr>
      </w:pPr>
    </w:p>
    <w:p w14:paraId="0D4CDA7F" w14:textId="77777777" w:rsidR="006754E3" w:rsidRPr="000E72F4" w:rsidRDefault="006754E3" w:rsidP="003C79A5">
      <w:pPr>
        <w:shd w:val="clear" w:color="auto" w:fill="244061" w:themeFill="accent1" w:themeFillShade="80"/>
        <w:spacing w:after="0" w:line="240" w:lineRule="auto"/>
        <w:jc w:val="both"/>
        <w:rPr>
          <w:b/>
        </w:rPr>
      </w:pPr>
      <w:r w:rsidRPr="000E72F4">
        <w:rPr>
          <w:b/>
        </w:rPr>
        <w:t>Background</w:t>
      </w:r>
    </w:p>
    <w:p w14:paraId="5866E811" w14:textId="432CE86C" w:rsidR="00676E64" w:rsidRPr="000E72F4" w:rsidRDefault="00A350AB" w:rsidP="000E72F4">
      <w:pPr>
        <w:spacing w:after="0" w:line="240" w:lineRule="auto"/>
        <w:jc w:val="both"/>
        <w:rPr>
          <w:rFonts w:eastAsia="Times New Roman" w:cs="Helvetica"/>
          <w:lang w:eastAsia="en-GB"/>
        </w:rPr>
      </w:pPr>
      <w:r w:rsidRPr="000E72F4">
        <w:t>The Government believes that the Pupil Premium, which is additional to main school funding, is the best way to address the current underlying inequalities between children eligible for free school meals (FSM) and th</w:t>
      </w:r>
      <w:r w:rsidR="00676E64" w:rsidRPr="000E72F4">
        <w:t>ose that are not,</w:t>
      </w:r>
      <w:r w:rsidRPr="000E72F4">
        <w:t xml:space="preserve"> by ensuring that funding to tackle disadvantage reaches the pupils who need it most. The Pupil Premium </w:t>
      </w:r>
      <w:r w:rsidR="00676E64" w:rsidRPr="000E72F4">
        <w:t xml:space="preserve">was introduced in April 2011 after research demonstrated that </w:t>
      </w:r>
      <w:r w:rsidR="00676E64" w:rsidRPr="000E72F4">
        <w:rPr>
          <w:rFonts w:eastAsia="Times New Roman" w:cs="Helvetica"/>
          <w:lang w:eastAsia="en-GB"/>
        </w:rPr>
        <w:t xml:space="preserve">children from disadvantaged backgrounds were far less likely to get good GCSE results. </w:t>
      </w:r>
    </w:p>
    <w:p w14:paraId="7EE1BB46" w14:textId="77777777" w:rsidR="00676E64" w:rsidRDefault="00676E64" w:rsidP="000E72F4">
      <w:pPr>
        <w:spacing w:after="0" w:line="240" w:lineRule="auto"/>
        <w:jc w:val="both"/>
        <w:rPr>
          <w:rFonts w:eastAsia="Times New Roman" w:cs="Helvetica"/>
          <w:lang w:eastAsia="en-GB"/>
        </w:rPr>
      </w:pPr>
    </w:p>
    <w:p w14:paraId="34DA6A3C" w14:textId="77777777" w:rsidR="0000312A" w:rsidRPr="000E72F4" w:rsidRDefault="0000312A" w:rsidP="000E72F4">
      <w:pPr>
        <w:spacing w:after="0" w:line="240" w:lineRule="auto"/>
        <w:jc w:val="both"/>
        <w:rPr>
          <w:rFonts w:eastAsia="Times New Roman" w:cs="Helvetica"/>
          <w:lang w:eastAsia="en-GB"/>
        </w:rPr>
      </w:pPr>
    </w:p>
    <w:p w14:paraId="3A2A58BD" w14:textId="77777777" w:rsidR="00676E64" w:rsidRPr="003C79A5" w:rsidRDefault="00676E64" w:rsidP="003C79A5">
      <w:pPr>
        <w:shd w:val="clear" w:color="auto" w:fill="244061" w:themeFill="accent1" w:themeFillShade="80"/>
        <w:spacing w:after="0" w:line="240" w:lineRule="auto"/>
        <w:jc w:val="both"/>
        <w:rPr>
          <w:rFonts w:eastAsia="Times New Roman" w:cs="Helvetica"/>
          <w:b/>
          <w:lang w:eastAsia="en-GB"/>
        </w:rPr>
      </w:pPr>
      <w:r w:rsidRPr="003C79A5">
        <w:rPr>
          <w:rFonts w:eastAsia="Times New Roman" w:cs="Helvetica"/>
          <w:b/>
          <w:lang w:eastAsia="en-GB"/>
        </w:rPr>
        <w:t>Eligibility</w:t>
      </w:r>
    </w:p>
    <w:p w14:paraId="059B1571" w14:textId="77777777" w:rsidR="00A350AB" w:rsidRPr="000E72F4" w:rsidRDefault="00676E64" w:rsidP="000E72F4">
      <w:pPr>
        <w:spacing w:after="0" w:line="240" w:lineRule="auto"/>
        <w:jc w:val="both"/>
      </w:pPr>
      <w:r w:rsidRPr="000E72F4">
        <w:rPr>
          <w:rFonts w:eastAsia="Times New Roman" w:cs="Helvetica"/>
          <w:lang w:eastAsia="en-GB"/>
        </w:rPr>
        <w:t xml:space="preserve">The Pupil Premium </w:t>
      </w:r>
      <w:r w:rsidR="00A350AB" w:rsidRPr="000E72F4">
        <w:t>is allocated to children from low-income families who are currently known to be eligible for FSM in both mainstream and non-mainstream settings</w:t>
      </w:r>
      <w:r w:rsidRPr="000E72F4">
        <w:t>,</w:t>
      </w:r>
      <w:r w:rsidR="00A350AB" w:rsidRPr="000E72F4">
        <w:t xml:space="preserve"> and children who have been looked after continuously for more than six months. </w:t>
      </w:r>
      <w:r w:rsidR="00850869" w:rsidRPr="000E72F4">
        <w:t xml:space="preserve">In April 2012, </w:t>
      </w:r>
      <w:r w:rsidR="00A350AB" w:rsidRPr="000E72F4">
        <w:t>eligibility for the Pupil Premium w</w:t>
      </w:r>
      <w:r w:rsidR="00850869" w:rsidRPr="000E72F4">
        <w:t xml:space="preserve">as </w:t>
      </w:r>
      <w:r w:rsidR="00A350AB" w:rsidRPr="000E72F4">
        <w:t>extended to pupils who have been eligible for free school meals (FSM) at any point in the last 6 years</w:t>
      </w:r>
      <w:r w:rsidR="00850869" w:rsidRPr="000E72F4">
        <w:t xml:space="preserve"> (known as ‘Ever 6 FSM’)</w:t>
      </w:r>
      <w:r w:rsidR="00A350AB" w:rsidRPr="000E72F4">
        <w:t xml:space="preserve">. As a group, children who have been eligible for FSM at any point in time have consistently lower educational attainment than those who have never been eligible for FSM. A premium </w:t>
      </w:r>
      <w:r w:rsidR="00850869" w:rsidRPr="000E72F4">
        <w:t>is also available</w:t>
      </w:r>
      <w:r w:rsidR="00A350AB" w:rsidRPr="000E72F4">
        <w:t xml:space="preserve"> for children whose parents are currently serving in the a</w:t>
      </w:r>
      <w:r w:rsidR="00850869" w:rsidRPr="000E72F4">
        <w:t xml:space="preserve">rmed forces, or who have served in the </w:t>
      </w:r>
      <w:r w:rsidR="000E72F4" w:rsidRPr="000E72F4">
        <w:t>last 5</w:t>
      </w:r>
      <w:r w:rsidR="00850869" w:rsidRPr="000E72F4">
        <w:t xml:space="preserve"> years.</w:t>
      </w:r>
    </w:p>
    <w:p w14:paraId="29924E2B" w14:textId="77777777" w:rsidR="00850869" w:rsidRDefault="00850869" w:rsidP="000E72F4">
      <w:pPr>
        <w:spacing w:after="0" w:line="240" w:lineRule="auto"/>
        <w:jc w:val="both"/>
      </w:pPr>
    </w:p>
    <w:p w14:paraId="6CCD9159" w14:textId="77777777" w:rsidR="0000312A" w:rsidRPr="000E72F4" w:rsidRDefault="0000312A" w:rsidP="000E72F4">
      <w:pPr>
        <w:spacing w:after="0" w:line="240" w:lineRule="auto"/>
        <w:jc w:val="both"/>
      </w:pPr>
    </w:p>
    <w:p w14:paraId="254DF959" w14:textId="77777777" w:rsidR="000E72F4" w:rsidRPr="003C79A5" w:rsidRDefault="000E72F4" w:rsidP="003C79A5">
      <w:pPr>
        <w:shd w:val="clear" w:color="auto" w:fill="244061" w:themeFill="accent1" w:themeFillShade="80"/>
        <w:spacing w:after="0" w:line="240" w:lineRule="auto"/>
        <w:jc w:val="both"/>
        <w:textAlignment w:val="baseline"/>
        <w:rPr>
          <w:rFonts w:eastAsia="Times New Roman" w:cs="Helvetica"/>
          <w:lang w:eastAsia="en-GB"/>
        </w:rPr>
      </w:pPr>
      <w:r w:rsidRPr="003C79A5">
        <w:rPr>
          <w:rFonts w:eastAsia="Times New Roman" w:cs="Helvetica"/>
          <w:lang w:eastAsia="en-GB"/>
        </w:rPr>
        <w:t>Funding</w:t>
      </w:r>
    </w:p>
    <w:p w14:paraId="3B63821B" w14:textId="77777777" w:rsidR="00850869" w:rsidRPr="000E72F4" w:rsidRDefault="00676E64" w:rsidP="000E72F4">
      <w:pPr>
        <w:spacing w:after="135" w:line="240" w:lineRule="auto"/>
        <w:jc w:val="both"/>
        <w:textAlignment w:val="baseline"/>
        <w:rPr>
          <w:rFonts w:eastAsia="Times New Roman" w:cs="Helvetica"/>
          <w:lang w:eastAsia="en-GB"/>
        </w:rPr>
      </w:pPr>
      <w:r w:rsidRPr="000E72F4">
        <w:rPr>
          <w:rFonts w:eastAsia="Times New Roman" w:cs="Helvetica"/>
          <w:lang w:eastAsia="en-GB"/>
        </w:rPr>
        <w:t>Pupil premium funding has increased year on year</w:t>
      </w:r>
      <w:r w:rsidR="00942BD7">
        <w:rPr>
          <w:rFonts w:eastAsia="Times New Roman" w:cs="Helvetica"/>
          <w:lang w:eastAsia="en-GB"/>
        </w:rPr>
        <w:t>,</w:t>
      </w:r>
      <w:r w:rsidRPr="000E72F4">
        <w:rPr>
          <w:rFonts w:eastAsia="Times New Roman" w:cs="Helvetica"/>
          <w:lang w:eastAsia="en-GB"/>
        </w:rPr>
        <w:t xml:space="preserve"> and £2.545 billion will be spent in</w:t>
      </w:r>
      <w:r w:rsidR="00850869" w:rsidRPr="000E72F4">
        <w:rPr>
          <w:rFonts w:eastAsia="Times New Roman" w:cs="Helvetica"/>
          <w:lang w:eastAsia="en-GB"/>
        </w:rPr>
        <w:t xml:space="preserve"> 2015-</w:t>
      </w:r>
      <w:r w:rsidRPr="000E72F4">
        <w:rPr>
          <w:rFonts w:eastAsia="Times New Roman" w:cs="Helvetica"/>
          <w:lang w:eastAsia="en-GB"/>
        </w:rPr>
        <w:t>16 for all children eligible</w:t>
      </w:r>
      <w:r w:rsidR="00850869" w:rsidRPr="000E72F4">
        <w:rPr>
          <w:rFonts w:eastAsia="Times New Roman" w:cs="Helvetica"/>
          <w:lang w:eastAsia="en-GB"/>
        </w:rPr>
        <w:t>.</w:t>
      </w:r>
    </w:p>
    <w:p w14:paraId="7383172E" w14:textId="77777777" w:rsidR="00850869" w:rsidRPr="000E72F4" w:rsidRDefault="00850869" w:rsidP="000E72F4">
      <w:pPr>
        <w:spacing w:after="135" w:line="240" w:lineRule="auto"/>
        <w:jc w:val="both"/>
        <w:textAlignment w:val="baseline"/>
        <w:rPr>
          <w:rFonts w:eastAsia="Times New Roman" w:cs="Helvetica"/>
          <w:lang w:eastAsia="en-GB"/>
        </w:rPr>
      </w:pPr>
      <w:r w:rsidRPr="000E72F4">
        <w:rPr>
          <w:rFonts w:eastAsia="Times New Roman" w:cs="Helvetica"/>
          <w:lang w:eastAsia="en-GB"/>
        </w:rPr>
        <w:t>For the financial year 2015-2016, the following allocations will be made:</w:t>
      </w:r>
    </w:p>
    <w:p w14:paraId="071D2398" w14:textId="77777777" w:rsidR="007A311F" w:rsidRPr="000E72F4" w:rsidRDefault="00850869" w:rsidP="000E72F4">
      <w:pPr>
        <w:pStyle w:val="ListParagraph"/>
        <w:numPr>
          <w:ilvl w:val="0"/>
          <w:numId w:val="13"/>
        </w:numPr>
        <w:spacing w:after="135" w:line="240" w:lineRule="auto"/>
        <w:jc w:val="both"/>
        <w:textAlignment w:val="baseline"/>
        <w:rPr>
          <w:rFonts w:asciiTheme="minorHAnsi" w:eastAsia="Times New Roman" w:hAnsiTheme="minorHAnsi"/>
          <w:sz w:val="22"/>
          <w:lang w:eastAsia="en-GB"/>
        </w:rPr>
      </w:pPr>
      <w:r w:rsidRPr="000E72F4">
        <w:rPr>
          <w:rFonts w:asciiTheme="minorHAnsi" w:eastAsia="Times New Roman" w:hAnsiTheme="minorHAnsi"/>
          <w:sz w:val="22"/>
          <w:lang w:eastAsia="en-GB"/>
        </w:rPr>
        <w:t xml:space="preserve">£1,320 </w:t>
      </w:r>
      <w:r w:rsidR="00F1415E" w:rsidRPr="000E72F4">
        <w:rPr>
          <w:rFonts w:asciiTheme="minorHAnsi" w:eastAsia="Times New Roman" w:hAnsiTheme="minorHAnsi"/>
          <w:sz w:val="22"/>
          <w:lang w:eastAsia="en-GB"/>
        </w:rPr>
        <w:t xml:space="preserve">for each </w:t>
      </w:r>
      <w:r w:rsidR="001550AA">
        <w:rPr>
          <w:rFonts w:asciiTheme="minorHAnsi" w:eastAsia="Times New Roman" w:hAnsiTheme="minorHAnsi"/>
          <w:sz w:val="22"/>
          <w:lang w:eastAsia="en-GB"/>
        </w:rPr>
        <w:t>pupil</w:t>
      </w:r>
      <w:r w:rsidR="00F1415E" w:rsidRPr="000E72F4">
        <w:rPr>
          <w:rFonts w:asciiTheme="minorHAnsi" w:eastAsia="Times New Roman" w:hAnsiTheme="minorHAnsi"/>
          <w:sz w:val="22"/>
          <w:lang w:eastAsia="en-GB"/>
        </w:rPr>
        <w:t xml:space="preserve"> </w:t>
      </w:r>
      <w:r w:rsidR="007A311F" w:rsidRPr="000E72F4">
        <w:rPr>
          <w:rFonts w:asciiTheme="minorHAnsi" w:eastAsia="Times New Roman" w:hAnsiTheme="minorHAnsi"/>
          <w:sz w:val="22"/>
          <w:lang w:eastAsia="en-GB"/>
        </w:rPr>
        <w:t xml:space="preserve">in YR-Y6 </w:t>
      </w:r>
      <w:r w:rsidR="00F1415E" w:rsidRPr="000E72F4">
        <w:rPr>
          <w:rFonts w:asciiTheme="minorHAnsi" w:eastAsia="Times New Roman" w:hAnsiTheme="minorHAnsi"/>
          <w:sz w:val="22"/>
          <w:lang w:eastAsia="en-GB"/>
        </w:rPr>
        <w:t>registered as eligible for FSM at any point in the last 6 years</w:t>
      </w:r>
      <w:r w:rsidRPr="000E72F4">
        <w:rPr>
          <w:rFonts w:asciiTheme="minorHAnsi" w:eastAsia="Times New Roman" w:hAnsiTheme="minorHAnsi"/>
          <w:sz w:val="22"/>
          <w:lang w:eastAsia="en-GB"/>
        </w:rPr>
        <w:t xml:space="preserve"> </w:t>
      </w:r>
      <w:r w:rsidR="00676E64" w:rsidRPr="000E72F4">
        <w:rPr>
          <w:rFonts w:asciiTheme="minorHAnsi" w:eastAsia="Times New Roman" w:hAnsiTheme="minorHAnsi"/>
          <w:sz w:val="22"/>
          <w:lang w:eastAsia="en-GB"/>
        </w:rPr>
        <w:t xml:space="preserve"> </w:t>
      </w:r>
    </w:p>
    <w:p w14:paraId="03EB36A5" w14:textId="77777777" w:rsidR="007A311F" w:rsidRPr="000E72F4" w:rsidRDefault="00F1415E" w:rsidP="000E72F4">
      <w:pPr>
        <w:pStyle w:val="ListParagraph"/>
        <w:numPr>
          <w:ilvl w:val="0"/>
          <w:numId w:val="13"/>
        </w:numPr>
        <w:spacing w:after="135" w:line="240" w:lineRule="auto"/>
        <w:jc w:val="both"/>
        <w:textAlignment w:val="baseline"/>
        <w:rPr>
          <w:rFonts w:asciiTheme="minorHAnsi" w:eastAsia="Times New Roman" w:hAnsiTheme="minorHAnsi"/>
          <w:sz w:val="22"/>
          <w:lang w:eastAsia="en-GB"/>
        </w:rPr>
      </w:pPr>
      <w:r w:rsidRPr="000E72F4">
        <w:rPr>
          <w:rFonts w:asciiTheme="minorHAnsi" w:eastAsia="Times New Roman" w:hAnsiTheme="minorHAnsi"/>
          <w:sz w:val="22"/>
          <w:lang w:eastAsia="en-GB"/>
        </w:rPr>
        <w:t xml:space="preserve">£1,900 </w:t>
      </w:r>
      <w:r w:rsidR="007A311F" w:rsidRPr="000E72F4">
        <w:rPr>
          <w:rFonts w:asciiTheme="minorHAnsi" w:eastAsia="Times New Roman" w:hAnsiTheme="minorHAnsi"/>
          <w:sz w:val="22"/>
          <w:lang w:eastAsia="en-GB"/>
        </w:rPr>
        <w:t xml:space="preserve">for each pupil </w:t>
      </w:r>
      <w:r w:rsidR="007A311F" w:rsidRPr="000E72F4">
        <w:rPr>
          <w:rFonts w:asciiTheme="minorHAnsi" w:hAnsiTheme="minorHAnsi" w:cs="Arial"/>
          <w:color w:val="0B0C0C"/>
          <w:sz w:val="22"/>
        </w:rPr>
        <w:t xml:space="preserve">who has left local-authority care because of </w:t>
      </w:r>
      <w:r w:rsidR="00FB5CDA" w:rsidRPr="000E72F4">
        <w:rPr>
          <w:rFonts w:asciiTheme="minorHAnsi" w:hAnsiTheme="minorHAnsi" w:cs="Arial"/>
          <w:color w:val="0B0C0C"/>
          <w:sz w:val="22"/>
        </w:rPr>
        <w:t>one</w:t>
      </w:r>
      <w:r w:rsidR="007A311F" w:rsidRPr="000E72F4">
        <w:rPr>
          <w:rFonts w:asciiTheme="minorHAnsi" w:hAnsiTheme="minorHAnsi" w:cs="Arial"/>
          <w:color w:val="0B0C0C"/>
          <w:sz w:val="22"/>
        </w:rPr>
        <w:t xml:space="preserve"> of the following:</w:t>
      </w:r>
    </w:p>
    <w:p w14:paraId="719C02CC" w14:textId="77777777" w:rsidR="007A311F" w:rsidRPr="000E72F4" w:rsidRDefault="00FB5CDA" w:rsidP="000E72F4">
      <w:pPr>
        <w:pStyle w:val="ListParagraph"/>
        <w:numPr>
          <w:ilvl w:val="0"/>
          <w:numId w:val="14"/>
        </w:numPr>
        <w:spacing w:after="135" w:line="240" w:lineRule="auto"/>
        <w:jc w:val="both"/>
        <w:textAlignment w:val="baseline"/>
        <w:rPr>
          <w:rFonts w:asciiTheme="minorHAnsi" w:hAnsiTheme="minorHAnsi" w:cs="Arial"/>
          <w:color w:val="0B0C0C"/>
          <w:sz w:val="22"/>
        </w:rPr>
      </w:pPr>
      <w:r w:rsidRPr="000E72F4">
        <w:rPr>
          <w:rFonts w:asciiTheme="minorHAnsi" w:hAnsiTheme="minorHAnsi" w:cs="Arial"/>
          <w:color w:val="0B0C0C"/>
          <w:sz w:val="22"/>
        </w:rPr>
        <w:t>a</w:t>
      </w:r>
      <w:r w:rsidR="007A311F" w:rsidRPr="000E72F4">
        <w:rPr>
          <w:rFonts w:asciiTheme="minorHAnsi" w:hAnsiTheme="minorHAnsi" w:cs="Arial"/>
          <w:color w:val="0B0C0C"/>
          <w:sz w:val="22"/>
        </w:rPr>
        <w:t>doption</w:t>
      </w:r>
    </w:p>
    <w:p w14:paraId="0924486B" w14:textId="77777777" w:rsidR="007A311F" w:rsidRPr="000E72F4" w:rsidRDefault="007A311F" w:rsidP="000E72F4">
      <w:pPr>
        <w:pStyle w:val="ListParagraph"/>
        <w:numPr>
          <w:ilvl w:val="0"/>
          <w:numId w:val="14"/>
        </w:numPr>
        <w:spacing w:after="135" w:line="240" w:lineRule="auto"/>
        <w:jc w:val="both"/>
        <w:textAlignment w:val="baseline"/>
        <w:rPr>
          <w:rFonts w:asciiTheme="minorHAnsi" w:hAnsiTheme="minorHAnsi" w:cs="Arial"/>
          <w:color w:val="0B0C0C"/>
          <w:sz w:val="22"/>
        </w:rPr>
      </w:pPr>
      <w:r w:rsidRPr="000E72F4">
        <w:rPr>
          <w:rFonts w:asciiTheme="minorHAnsi" w:hAnsiTheme="minorHAnsi" w:cs="Arial"/>
          <w:color w:val="0B0C0C"/>
          <w:sz w:val="22"/>
        </w:rPr>
        <w:t>a special guardianship order</w:t>
      </w:r>
    </w:p>
    <w:p w14:paraId="4FFAF189" w14:textId="77777777" w:rsidR="007A311F" w:rsidRPr="000E72F4" w:rsidRDefault="007A311F" w:rsidP="000E72F4">
      <w:pPr>
        <w:pStyle w:val="ListParagraph"/>
        <w:numPr>
          <w:ilvl w:val="0"/>
          <w:numId w:val="14"/>
        </w:numPr>
        <w:spacing w:after="135" w:line="240" w:lineRule="auto"/>
        <w:jc w:val="both"/>
        <w:textAlignment w:val="baseline"/>
        <w:rPr>
          <w:rFonts w:asciiTheme="minorHAnsi" w:hAnsiTheme="minorHAnsi" w:cs="Arial"/>
          <w:color w:val="0B0C0C"/>
          <w:sz w:val="22"/>
        </w:rPr>
      </w:pPr>
      <w:r w:rsidRPr="000E72F4">
        <w:rPr>
          <w:rFonts w:asciiTheme="minorHAnsi" w:hAnsiTheme="minorHAnsi" w:cs="Arial"/>
          <w:color w:val="0B0C0C"/>
          <w:sz w:val="22"/>
        </w:rPr>
        <w:t>a child arrangements order</w:t>
      </w:r>
    </w:p>
    <w:p w14:paraId="6910E53E" w14:textId="77777777" w:rsidR="000E72F4" w:rsidRPr="000E72F4" w:rsidRDefault="007A311F" w:rsidP="000E72F4">
      <w:pPr>
        <w:pStyle w:val="ListParagraph"/>
        <w:numPr>
          <w:ilvl w:val="0"/>
          <w:numId w:val="14"/>
        </w:numPr>
        <w:spacing w:after="135" w:line="240" w:lineRule="auto"/>
        <w:jc w:val="both"/>
        <w:textAlignment w:val="baseline"/>
        <w:rPr>
          <w:rFonts w:asciiTheme="minorHAnsi" w:hAnsiTheme="minorHAnsi" w:cs="Arial"/>
          <w:color w:val="0B0C0C"/>
          <w:sz w:val="22"/>
        </w:rPr>
      </w:pPr>
      <w:r w:rsidRPr="000E72F4">
        <w:rPr>
          <w:rFonts w:asciiTheme="minorHAnsi" w:hAnsiTheme="minorHAnsi" w:cs="Arial"/>
          <w:color w:val="0B0C0C"/>
          <w:sz w:val="22"/>
        </w:rPr>
        <w:t>a residence order</w:t>
      </w:r>
    </w:p>
    <w:p w14:paraId="48375882" w14:textId="77777777" w:rsidR="00850869" w:rsidRPr="000E72F4" w:rsidRDefault="00652A92" w:rsidP="001550AA">
      <w:pPr>
        <w:pStyle w:val="ListParagraph"/>
        <w:numPr>
          <w:ilvl w:val="0"/>
          <w:numId w:val="17"/>
        </w:numPr>
        <w:spacing w:after="0" w:line="240" w:lineRule="auto"/>
        <w:jc w:val="both"/>
        <w:textAlignment w:val="baseline"/>
        <w:rPr>
          <w:rFonts w:asciiTheme="minorHAnsi" w:hAnsiTheme="minorHAnsi" w:cs="Arial"/>
          <w:color w:val="0B0C0C"/>
          <w:sz w:val="22"/>
        </w:rPr>
      </w:pPr>
      <w:r w:rsidRPr="000E72F4">
        <w:rPr>
          <w:rFonts w:asciiTheme="minorHAnsi" w:hAnsiTheme="minorHAnsi" w:cs="Arial"/>
          <w:color w:val="0B0C0C"/>
          <w:sz w:val="22"/>
        </w:rPr>
        <w:t xml:space="preserve">£300 for each pupil </w:t>
      </w:r>
      <w:r w:rsidR="00087926" w:rsidRPr="000E72F4">
        <w:rPr>
          <w:rFonts w:asciiTheme="minorHAnsi" w:hAnsiTheme="minorHAnsi" w:cs="Arial"/>
          <w:color w:val="0B0C0C"/>
          <w:sz w:val="22"/>
        </w:rPr>
        <w:t xml:space="preserve">YR-Y11 </w:t>
      </w:r>
      <w:r w:rsidRPr="000E72F4">
        <w:rPr>
          <w:rFonts w:asciiTheme="minorHAnsi" w:hAnsiTheme="minorHAnsi" w:cs="Arial"/>
          <w:color w:val="0B0C0C"/>
          <w:sz w:val="22"/>
        </w:rPr>
        <w:t xml:space="preserve">whose parents have served </w:t>
      </w:r>
      <w:r w:rsidR="00087926" w:rsidRPr="000E72F4">
        <w:rPr>
          <w:rFonts w:asciiTheme="minorHAnsi" w:hAnsiTheme="minorHAnsi" w:cs="Arial"/>
          <w:color w:val="0B0C0C"/>
          <w:sz w:val="22"/>
        </w:rPr>
        <w:t xml:space="preserve">or are serving </w:t>
      </w:r>
      <w:r w:rsidRPr="000E72F4">
        <w:rPr>
          <w:rFonts w:asciiTheme="minorHAnsi" w:hAnsiTheme="minorHAnsi" w:cs="Arial"/>
          <w:color w:val="0B0C0C"/>
          <w:sz w:val="22"/>
        </w:rPr>
        <w:t>in the armed forces (‘Ever 5 Service Child’)</w:t>
      </w:r>
      <w:r w:rsidR="00087926" w:rsidRPr="000E72F4">
        <w:rPr>
          <w:rFonts w:asciiTheme="minorHAnsi" w:hAnsiTheme="minorHAnsi" w:cs="Arial"/>
          <w:color w:val="0B0C0C"/>
          <w:sz w:val="22"/>
        </w:rPr>
        <w:t xml:space="preserve">, </w:t>
      </w:r>
      <w:r w:rsidR="00087926" w:rsidRPr="000E72F4">
        <w:rPr>
          <w:rFonts w:asciiTheme="minorHAnsi" w:hAnsiTheme="minorHAnsi" w:cs="Arial"/>
          <w:color w:val="292929"/>
          <w:sz w:val="22"/>
          <w:shd w:val="clear" w:color="auto" w:fill="FFFFFF"/>
        </w:rPr>
        <w:t>or in receipt of pensions under the Armed Forces Compensation Scheme (AFCS) and the War Pensions Scheme (WPS)</w:t>
      </w:r>
      <w:r w:rsidRPr="000E72F4">
        <w:rPr>
          <w:rFonts w:asciiTheme="minorHAnsi" w:hAnsiTheme="minorHAnsi" w:cs="Arial"/>
          <w:color w:val="0B0C0C"/>
          <w:sz w:val="22"/>
        </w:rPr>
        <w:t xml:space="preserve"> </w:t>
      </w:r>
    </w:p>
    <w:p w14:paraId="447CEBAD" w14:textId="77777777" w:rsidR="00E850FB" w:rsidRDefault="00E850FB">
      <w:pPr>
        <w:rPr>
          <w:rFonts w:eastAsia="Times New Roman" w:cs="Arial"/>
          <w:color w:val="0B0C0C"/>
          <w:lang w:eastAsia="en-GB"/>
        </w:rPr>
      </w:pPr>
      <w:r>
        <w:rPr>
          <w:rFonts w:eastAsia="Times New Roman" w:cs="Arial"/>
          <w:color w:val="0B0C0C"/>
          <w:lang w:eastAsia="en-GB"/>
        </w:rPr>
        <w:br w:type="page"/>
      </w:r>
    </w:p>
    <w:p w14:paraId="076A1A60" w14:textId="77777777" w:rsidR="00960A5C" w:rsidRDefault="00960A5C" w:rsidP="00960A5C">
      <w:pPr>
        <w:shd w:val="clear" w:color="auto" w:fill="FFFFFF"/>
        <w:spacing w:after="0" w:line="240" w:lineRule="auto"/>
        <w:ind w:left="-60"/>
        <w:jc w:val="both"/>
        <w:rPr>
          <w:rFonts w:eastAsia="Times New Roman" w:cs="Arial"/>
          <w:color w:val="0B0C0C"/>
          <w:lang w:eastAsia="en-GB"/>
        </w:rPr>
      </w:pPr>
    </w:p>
    <w:p w14:paraId="3CF38773" w14:textId="77777777" w:rsidR="003C79A5" w:rsidRPr="00691765" w:rsidRDefault="003C79A5" w:rsidP="003C79A5">
      <w:pPr>
        <w:shd w:val="clear" w:color="auto" w:fill="244061" w:themeFill="accent1" w:themeFillShade="80"/>
        <w:spacing w:after="0" w:line="240" w:lineRule="auto"/>
        <w:jc w:val="both"/>
        <w:rPr>
          <w:b/>
        </w:rPr>
      </w:pPr>
      <w:r w:rsidRPr="00691765">
        <w:rPr>
          <w:b/>
        </w:rPr>
        <w:t>Context</w:t>
      </w:r>
    </w:p>
    <w:p w14:paraId="65A018AC" w14:textId="4E20DAB5" w:rsidR="003C79A5" w:rsidRDefault="003C79A5" w:rsidP="003C79A5">
      <w:pPr>
        <w:spacing w:after="0" w:line="240" w:lineRule="auto"/>
      </w:pPr>
      <w:r>
        <w:t>Watling Park School opened in September 201</w:t>
      </w:r>
      <w:r w:rsidR="00272D69">
        <w:t>5</w:t>
      </w:r>
      <w:r>
        <w:t xml:space="preserve"> with two Reception classes. So far 23 children have been identified as being entitled to Pupil Premium Funding. </w:t>
      </w:r>
    </w:p>
    <w:p w14:paraId="49DF6CC7" w14:textId="77777777" w:rsidR="003C79A5" w:rsidRDefault="003C79A5" w:rsidP="00960A5C">
      <w:pPr>
        <w:shd w:val="clear" w:color="auto" w:fill="FFFFFF"/>
        <w:spacing w:after="0" w:line="240" w:lineRule="auto"/>
        <w:ind w:left="-60"/>
        <w:jc w:val="both"/>
        <w:rPr>
          <w:rFonts w:eastAsia="Times New Roman" w:cs="Arial"/>
          <w:b/>
          <w:color w:val="0B0C0C"/>
          <w:lang w:eastAsia="en-GB"/>
        </w:rPr>
      </w:pPr>
    </w:p>
    <w:p w14:paraId="0C829624" w14:textId="77777777" w:rsidR="00960A5C" w:rsidRPr="00272D69" w:rsidRDefault="00960A5C" w:rsidP="003C79A5">
      <w:pPr>
        <w:shd w:val="clear" w:color="auto" w:fill="244061" w:themeFill="accent1" w:themeFillShade="80"/>
        <w:spacing w:after="0" w:line="240" w:lineRule="auto"/>
        <w:ind w:left="-60"/>
        <w:jc w:val="both"/>
        <w:rPr>
          <w:rFonts w:eastAsia="Times New Roman" w:cs="Arial"/>
          <w:b/>
          <w:color w:val="F2F2F2" w:themeColor="background1" w:themeShade="F2"/>
          <w:lang w:eastAsia="en-GB"/>
        </w:rPr>
      </w:pPr>
      <w:r w:rsidRPr="00272D69">
        <w:rPr>
          <w:rFonts w:eastAsia="Times New Roman" w:cs="Arial"/>
          <w:b/>
          <w:color w:val="F2F2F2" w:themeColor="background1" w:themeShade="F2"/>
          <w:lang w:eastAsia="en-GB"/>
        </w:rPr>
        <w:t>Allocation</w:t>
      </w:r>
    </w:p>
    <w:p w14:paraId="6E6E0231" w14:textId="77777777" w:rsidR="00272D69" w:rsidRDefault="00272D69" w:rsidP="00960A5C">
      <w:pPr>
        <w:shd w:val="clear" w:color="auto" w:fill="FFFFFF"/>
        <w:spacing w:after="0" w:line="240" w:lineRule="auto"/>
        <w:ind w:left="-60"/>
        <w:jc w:val="both"/>
        <w:rPr>
          <w:rFonts w:eastAsia="Times New Roman" w:cs="Arial"/>
          <w:b/>
          <w:color w:val="0B0C0C"/>
          <w:lang w:eastAsia="en-GB"/>
        </w:rPr>
      </w:pPr>
    </w:p>
    <w:p w14:paraId="3BE4746D" w14:textId="6CB13F37" w:rsidR="00DE2143" w:rsidRDefault="003C79A5" w:rsidP="00272D69">
      <w:pPr>
        <w:shd w:val="clear" w:color="auto" w:fill="FFFFFF"/>
        <w:spacing w:after="0" w:line="240" w:lineRule="auto"/>
        <w:ind w:left="-60"/>
        <w:jc w:val="both"/>
        <w:rPr>
          <w:rFonts w:eastAsia="Times New Roman" w:cs="Arial"/>
          <w:b/>
          <w:color w:val="0B0C0C"/>
          <w:lang w:eastAsia="en-GB"/>
        </w:rPr>
      </w:pPr>
      <w:r>
        <w:rPr>
          <w:rFonts w:eastAsia="Times New Roman" w:cs="Arial"/>
          <w:b/>
          <w:color w:val="0B0C0C"/>
          <w:lang w:eastAsia="en-GB"/>
        </w:rPr>
        <w:t>In 2015-16, Watling Park will receive approximately £30,700 pupil premium funding as calculated below.</w:t>
      </w:r>
    </w:p>
    <w:p w14:paraId="6F32DE2A" w14:textId="77777777" w:rsidR="00003E0C" w:rsidRDefault="00003E0C" w:rsidP="00960A5C">
      <w:pPr>
        <w:shd w:val="clear" w:color="auto" w:fill="FFFFFF"/>
        <w:spacing w:after="0" w:line="240" w:lineRule="auto"/>
        <w:ind w:left="-60"/>
        <w:jc w:val="both"/>
        <w:rPr>
          <w:rFonts w:eastAsia="Times New Roman" w:cs="Arial"/>
          <w:b/>
          <w:color w:val="0B0C0C"/>
          <w:lang w:eastAsia="en-GB"/>
        </w:rPr>
      </w:pPr>
    </w:p>
    <w:tbl>
      <w:tblPr>
        <w:tblStyle w:val="TableGrid"/>
        <w:tblW w:w="10593" w:type="dxa"/>
        <w:tblInd w:w="-60" w:type="dxa"/>
        <w:tblLook w:val="04A0" w:firstRow="1" w:lastRow="0" w:firstColumn="1" w:lastColumn="0" w:noHBand="0" w:noVBand="1"/>
      </w:tblPr>
      <w:tblGrid>
        <w:gridCol w:w="2607"/>
        <w:gridCol w:w="2835"/>
        <w:gridCol w:w="2873"/>
        <w:gridCol w:w="2278"/>
      </w:tblGrid>
      <w:tr w:rsidR="003C79A5" w14:paraId="79079574" w14:textId="77777777" w:rsidTr="003C79A5">
        <w:trPr>
          <w:trHeight w:val="391"/>
        </w:trPr>
        <w:tc>
          <w:tcPr>
            <w:tcW w:w="2607" w:type="dxa"/>
            <w:shd w:val="clear" w:color="auto" w:fill="365F91" w:themeFill="accent1" w:themeFillShade="BF"/>
            <w:vAlign w:val="center"/>
          </w:tcPr>
          <w:p w14:paraId="08C69E93" w14:textId="4729A5F7" w:rsidR="003C79A5" w:rsidRPr="00077681" w:rsidRDefault="003C79A5" w:rsidP="00003E0C">
            <w:pPr>
              <w:tabs>
                <w:tab w:val="left" w:pos="255"/>
                <w:tab w:val="center" w:pos="1195"/>
              </w:tabs>
              <w:rPr>
                <w:rFonts w:eastAsia="Times New Roman" w:cs="Arial"/>
                <w:b/>
                <w:color w:val="FFFFFF" w:themeColor="background1"/>
                <w:lang w:eastAsia="en-GB"/>
              </w:rPr>
            </w:pPr>
            <w:r w:rsidRPr="00077681">
              <w:rPr>
                <w:rFonts w:eastAsia="Times New Roman" w:cs="Arial"/>
                <w:b/>
                <w:color w:val="FFFFFF" w:themeColor="background1"/>
                <w:lang w:eastAsia="en-GB"/>
              </w:rPr>
              <w:tab/>
            </w:r>
            <w:r w:rsidRPr="00077681">
              <w:rPr>
                <w:rFonts w:eastAsia="Times New Roman" w:cs="Arial"/>
                <w:b/>
                <w:color w:val="FFFFFF" w:themeColor="background1"/>
                <w:lang w:eastAsia="en-GB"/>
              </w:rPr>
              <w:tab/>
            </w:r>
            <w:r>
              <w:rPr>
                <w:rFonts w:eastAsia="Times New Roman" w:cs="Arial"/>
                <w:b/>
                <w:color w:val="FFFFFF" w:themeColor="background1"/>
                <w:lang w:eastAsia="en-GB"/>
              </w:rPr>
              <w:t>Category</w:t>
            </w:r>
          </w:p>
        </w:tc>
        <w:tc>
          <w:tcPr>
            <w:tcW w:w="2835" w:type="dxa"/>
            <w:shd w:val="clear" w:color="auto" w:fill="365F91" w:themeFill="accent1" w:themeFillShade="BF"/>
            <w:vAlign w:val="center"/>
          </w:tcPr>
          <w:p w14:paraId="46BE296B" w14:textId="77777777" w:rsidR="003C79A5" w:rsidRPr="00077681" w:rsidRDefault="003C79A5" w:rsidP="0000312A">
            <w:pPr>
              <w:jc w:val="center"/>
              <w:rPr>
                <w:rFonts w:eastAsia="Times New Roman" w:cs="Arial"/>
                <w:b/>
                <w:color w:val="FFFFFF" w:themeColor="background1"/>
                <w:lang w:eastAsia="en-GB"/>
              </w:rPr>
            </w:pPr>
            <w:r w:rsidRPr="00077681">
              <w:rPr>
                <w:rFonts w:eastAsia="Times New Roman" w:cs="Arial"/>
                <w:b/>
                <w:color w:val="FFFFFF" w:themeColor="background1"/>
                <w:lang w:eastAsia="en-GB"/>
              </w:rPr>
              <w:t>£ per pupil</w:t>
            </w:r>
          </w:p>
        </w:tc>
        <w:tc>
          <w:tcPr>
            <w:tcW w:w="2873" w:type="dxa"/>
            <w:shd w:val="clear" w:color="auto" w:fill="365F91" w:themeFill="accent1" w:themeFillShade="BF"/>
            <w:vAlign w:val="center"/>
          </w:tcPr>
          <w:p w14:paraId="0847DAAC" w14:textId="77777777" w:rsidR="003C79A5" w:rsidRPr="00077681" w:rsidRDefault="003C79A5" w:rsidP="0000312A">
            <w:pPr>
              <w:jc w:val="center"/>
              <w:rPr>
                <w:rFonts w:eastAsia="Times New Roman" w:cs="Arial"/>
                <w:b/>
                <w:color w:val="FFFFFF" w:themeColor="background1"/>
                <w:lang w:eastAsia="en-GB"/>
              </w:rPr>
            </w:pPr>
            <w:r w:rsidRPr="00077681">
              <w:rPr>
                <w:rFonts w:eastAsia="Times New Roman" w:cs="Arial"/>
                <w:b/>
                <w:color w:val="FFFFFF" w:themeColor="background1"/>
                <w:lang w:eastAsia="en-GB"/>
              </w:rPr>
              <w:t>Number of eligible pupils</w:t>
            </w:r>
          </w:p>
        </w:tc>
        <w:tc>
          <w:tcPr>
            <w:tcW w:w="2278" w:type="dxa"/>
            <w:shd w:val="clear" w:color="auto" w:fill="365F91" w:themeFill="accent1" w:themeFillShade="BF"/>
            <w:vAlign w:val="center"/>
          </w:tcPr>
          <w:p w14:paraId="5F025F1C" w14:textId="4CDF9033" w:rsidR="003C79A5" w:rsidRPr="00077681" w:rsidRDefault="003C79A5" w:rsidP="00003E0C">
            <w:pPr>
              <w:jc w:val="center"/>
              <w:rPr>
                <w:rFonts w:eastAsia="Times New Roman" w:cs="Arial"/>
                <w:b/>
                <w:color w:val="FFFFFF" w:themeColor="background1"/>
                <w:lang w:eastAsia="en-GB"/>
              </w:rPr>
            </w:pPr>
            <w:r w:rsidRPr="00077681">
              <w:rPr>
                <w:rFonts w:eastAsia="Times New Roman" w:cs="Arial"/>
                <w:b/>
                <w:color w:val="FFFFFF" w:themeColor="background1"/>
                <w:lang w:eastAsia="en-GB"/>
              </w:rPr>
              <w:t xml:space="preserve">£ Total for </w:t>
            </w:r>
            <w:r>
              <w:rPr>
                <w:rFonts w:eastAsia="Times New Roman" w:cs="Arial"/>
                <w:b/>
                <w:color w:val="FFFFFF" w:themeColor="background1"/>
                <w:lang w:eastAsia="en-GB"/>
              </w:rPr>
              <w:t>WPP</w:t>
            </w:r>
          </w:p>
        </w:tc>
      </w:tr>
      <w:tr w:rsidR="003C79A5" w14:paraId="2B49FCD3" w14:textId="77777777" w:rsidTr="003C79A5">
        <w:trPr>
          <w:trHeight w:val="391"/>
        </w:trPr>
        <w:tc>
          <w:tcPr>
            <w:tcW w:w="2607" w:type="dxa"/>
            <w:vAlign w:val="center"/>
          </w:tcPr>
          <w:p w14:paraId="32FD6CA4" w14:textId="58F74D02" w:rsidR="003C79A5" w:rsidRDefault="003C79A5" w:rsidP="00E850FB">
            <w:pPr>
              <w:jc w:val="center"/>
              <w:rPr>
                <w:rFonts w:eastAsia="Times New Roman" w:cs="Arial"/>
                <w:color w:val="0B0C0C"/>
                <w:lang w:eastAsia="en-GB"/>
              </w:rPr>
            </w:pPr>
            <w:r>
              <w:rPr>
                <w:rFonts w:eastAsia="Times New Roman" w:cs="Arial"/>
                <w:color w:val="0B0C0C"/>
                <w:lang w:eastAsia="en-GB"/>
              </w:rPr>
              <w:t xml:space="preserve">FSM </w:t>
            </w:r>
          </w:p>
        </w:tc>
        <w:tc>
          <w:tcPr>
            <w:tcW w:w="2835" w:type="dxa"/>
            <w:vAlign w:val="center"/>
          </w:tcPr>
          <w:p w14:paraId="3F3D9FD4" w14:textId="2114D18C" w:rsidR="003C79A5" w:rsidRDefault="003C79A5" w:rsidP="00E850FB">
            <w:pPr>
              <w:jc w:val="center"/>
              <w:rPr>
                <w:rFonts w:eastAsia="Times New Roman" w:cs="Arial"/>
                <w:color w:val="0B0C0C"/>
                <w:lang w:eastAsia="en-GB"/>
              </w:rPr>
            </w:pPr>
            <w:r>
              <w:rPr>
                <w:rFonts w:eastAsia="Times New Roman" w:cs="Arial"/>
                <w:color w:val="0B0C0C"/>
                <w:lang w:eastAsia="en-GB"/>
              </w:rPr>
              <w:t>£1,320</w:t>
            </w:r>
          </w:p>
        </w:tc>
        <w:tc>
          <w:tcPr>
            <w:tcW w:w="2873" w:type="dxa"/>
            <w:vAlign w:val="center"/>
          </w:tcPr>
          <w:p w14:paraId="3A295019" w14:textId="36B7A274" w:rsidR="003C79A5" w:rsidRDefault="003C79A5" w:rsidP="00E850FB">
            <w:pPr>
              <w:jc w:val="center"/>
              <w:rPr>
                <w:rFonts w:eastAsia="Times New Roman" w:cs="Arial"/>
                <w:color w:val="0B0C0C"/>
                <w:lang w:eastAsia="en-GB"/>
              </w:rPr>
            </w:pPr>
            <w:r>
              <w:rPr>
                <w:rFonts w:eastAsia="Times New Roman" w:cs="Arial"/>
                <w:color w:val="0B0C0C"/>
                <w:lang w:eastAsia="en-GB"/>
              </w:rPr>
              <w:t>22</w:t>
            </w:r>
          </w:p>
        </w:tc>
        <w:tc>
          <w:tcPr>
            <w:tcW w:w="2278" w:type="dxa"/>
            <w:vAlign w:val="center"/>
          </w:tcPr>
          <w:p w14:paraId="3FC608BC" w14:textId="37ABDA95" w:rsidR="003C79A5" w:rsidRDefault="003C79A5" w:rsidP="00E850FB">
            <w:pPr>
              <w:jc w:val="center"/>
              <w:rPr>
                <w:rFonts w:eastAsia="Times New Roman" w:cs="Arial"/>
                <w:color w:val="0B0C0C"/>
                <w:lang w:eastAsia="en-GB"/>
              </w:rPr>
            </w:pPr>
            <w:r>
              <w:rPr>
                <w:rFonts w:eastAsia="Times New Roman" w:cs="Arial"/>
                <w:color w:val="0B0C0C"/>
                <w:lang w:eastAsia="en-GB"/>
              </w:rPr>
              <w:t>£28,820</w:t>
            </w:r>
          </w:p>
        </w:tc>
      </w:tr>
      <w:tr w:rsidR="003C79A5" w14:paraId="4F99D7F0" w14:textId="77777777" w:rsidTr="003C79A5">
        <w:trPr>
          <w:trHeight w:val="391"/>
        </w:trPr>
        <w:tc>
          <w:tcPr>
            <w:tcW w:w="2607" w:type="dxa"/>
            <w:vAlign w:val="center"/>
          </w:tcPr>
          <w:p w14:paraId="5074ED0A" w14:textId="5BA329CC" w:rsidR="003C79A5" w:rsidRDefault="003C79A5" w:rsidP="00E850FB">
            <w:pPr>
              <w:jc w:val="center"/>
              <w:rPr>
                <w:rFonts w:eastAsia="Times New Roman" w:cs="Arial"/>
                <w:color w:val="0B0C0C"/>
                <w:lang w:eastAsia="en-GB"/>
              </w:rPr>
            </w:pPr>
            <w:r>
              <w:rPr>
                <w:rFonts w:cs="Arial"/>
                <w:color w:val="0B0C0C"/>
              </w:rPr>
              <w:t>FSM (Post LAC)</w:t>
            </w:r>
          </w:p>
        </w:tc>
        <w:tc>
          <w:tcPr>
            <w:tcW w:w="2835" w:type="dxa"/>
            <w:vAlign w:val="center"/>
          </w:tcPr>
          <w:p w14:paraId="30B66FED" w14:textId="5782AAB1" w:rsidR="003C79A5" w:rsidRDefault="003C79A5" w:rsidP="00E850FB">
            <w:pPr>
              <w:jc w:val="center"/>
              <w:rPr>
                <w:rFonts w:eastAsia="Times New Roman" w:cs="Arial"/>
                <w:color w:val="0B0C0C"/>
                <w:lang w:eastAsia="en-GB"/>
              </w:rPr>
            </w:pPr>
            <w:r w:rsidRPr="000E72F4">
              <w:rPr>
                <w:rFonts w:eastAsia="Times New Roman"/>
                <w:lang w:eastAsia="en-GB"/>
              </w:rPr>
              <w:t xml:space="preserve">£1,900 </w:t>
            </w:r>
          </w:p>
        </w:tc>
        <w:tc>
          <w:tcPr>
            <w:tcW w:w="2873" w:type="dxa"/>
            <w:vAlign w:val="center"/>
          </w:tcPr>
          <w:p w14:paraId="61F0A206" w14:textId="1D876B7A" w:rsidR="003C79A5" w:rsidRDefault="003C79A5" w:rsidP="00E850FB">
            <w:pPr>
              <w:jc w:val="center"/>
              <w:rPr>
                <w:rFonts w:eastAsia="Times New Roman" w:cs="Arial"/>
                <w:color w:val="0B0C0C"/>
                <w:lang w:eastAsia="en-GB"/>
              </w:rPr>
            </w:pPr>
            <w:r>
              <w:rPr>
                <w:rFonts w:eastAsia="Times New Roman" w:cs="Arial"/>
                <w:color w:val="0B0C0C"/>
                <w:lang w:eastAsia="en-GB"/>
              </w:rPr>
              <w:t>1</w:t>
            </w:r>
          </w:p>
        </w:tc>
        <w:tc>
          <w:tcPr>
            <w:tcW w:w="2278" w:type="dxa"/>
            <w:vAlign w:val="center"/>
          </w:tcPr>
          <w:p w14:paraId="68C45911" w14:textId="36C8BC96" w:rsidR="003C79A5" w:rsidRDefault="003C79A5" w:rsidP="00E850FB">
            <w:pPr>
              <w:jc w:val="center"/>
              <w:rPr>
                <w:rFonts w:eastAsia="Times New Roman" w:cs="Arial"/>
                <w:color w:val="0B0C0C"/>
                <w:lang w:eastAsia="en-GB"/>
              </w:rPr>
            </w:pPr>
            <w:r>
              <w:rPr>
                <w:rFonts w:eastAsia="Times New Roman" w:cs="Arial"/>
                <w:color w:val="0B0C0C"/>
                <w:lang w:eastAsia="en-GB"/>
              </w:rPr>
              <w:t>£1,900</w:t>
            </w:r>
          </w:p>
        </w:tc>
      </w:tr>
    </w:tbl>
    <w:p w14:paraId="48274742" w14:textId="321CF7E1" w:rsidR="00E850FB" w:rsidRDefault="00E850FB" w:rsidP="00E850FB">
      <w:pPr>
        <w:spacing w:after="0" w:line="240" w:lineRule="auto"/>
      </w:pPr>
    </w:p>
    <w:p w14:paraId="25E57D0E" w14:textId="44418522" w:rsidR="003C7E77" w:rsidRPr="003C79A5" w:rsidRDefault="00077681" w:rsidP="003C79A5">
      <w:pPr>
        <w:shd w:val="clear" w:color="auto" w:fill="244061" w:themeFill="accent1" w:themeFillShade="80"/>
        <w:spacing w:after="0" w:line="240" w:lineRule="auto"/>
        <w:jc w:val="both"/>
        <w:rPr>
          <w:b/>
        </w:rPr>
      </w:pPr>
      <w:r w:rsidRPr="003C79A5">
        <w:rPr>
          <w:b/>
        </w:rPr>
        <w:t>Watling Park</w:t>
      </w:r>
      <w:r w:rsidR="00CE687D" w:rsidRPr="003C79A5">
        <w:rPr>
          <w:b/>
        </w:rPr>
        <w:t xml:space="preserve"> School Principles</w:t>
      </w:r>
    </w:p>
    <w:p w14:paraId="1B5CF685" w14:textId="77777777" w:rsidR="003C79A5" w:rsidRDefault="003C79A5" w:rsidP="00FC51F2">
      <w:pPr>
        <w:spacing w:after="0" w:line="240" w:lineRule="auto"/>
        <w:jc w:val="both"/>
        <w:rPr>
          <w:b/>
        </w:rPr>
      </w:pPr>
    </w:p>
    <w:p w14:paraId="6FFB3FE6" w14:textId="0D6B84B3" w:rsidR="00CE687D" w:rsidRDefault="00CE687D" w:rsidP="00FC51F2">
      <w:pPr>
        <w:spacing w:after="0" w:line="240" w:lineRule="auto"/>
        <w:jc w:val="both"/>
      </w:pPr>
      <w:r w:rsidRPr="00CE687D">
        <w:t xml:space="preserve">In line with many of the recommendations from the Ofsted report, </w:t>
      </w:r>
      <w:r w:rsidRPr="00CE687D">
        <w:rPr>
          <w:i/>
        </w:rPr>
        <w:t>‘The Pupil Premium: How schools are spending the funding successfully to maximise achievement</w:t>
      </w:r>
      <w:r>
        <w:rPr>
          <w:i/>
        </w:rPr>
        <w:t>’</w:t>
      </w:r>
      <w:r w:rsidRPr="000E72F4">
        <w:rPr>
          <w:rStyle w:val="FootnoteReference"/>
        </w:rPr>
        <w:footnoteReference w:id="1"/>
      </w:r>
      <w:r>
        <w:rPr>
          <w:i/>
        </w:rPr>
        <w:t xml:space="preserve">, </w:t>
      </w:r>
      <w:r w:rsidR="00C6785D">
        <w:t>Watling Park</w:t>
      </w:r>
      <w:r w:rsidRPr="00CE687D">
        <w:t xml:space="preserve"> School is committed to upholding the following principles and practices: </w:t>
      </w:r>
    </w:p>
    <w:p w14:paraId="14CF5524" w14:textId="77777777" w:rsidR="00CE687D" w:rsidRDefault="00CE687D" w:rsidP="00FC51F2">
      <w:pPr>
        <w:spacing w:after="0" w:line="240" w:lineRule="auto"/>
        <w:jc w:val="both"/>
      </w:pPr>
    </w:p>
    <w:p w14:paraId="7101FFD8" w14:textId="51FE9035" w:rsidR="00CE687D" w:rsidRDefault="00CE687D" w:rsidP="00FC51F2">
      <w:pPr>
        <w:pStyle w:val="ListParagraph"/>
        <w:numPr>
          <w:ilvl w:val="0"/>
          <w:numId w:val="24"/>
        </w:numPr>
        <w:spacing w:after="0" w:line="240" w:lineRule="auto"/>
        <w:jc w:val="both"/>
        <w:rPr>
          <w:rFonts w:asciiTheme="minorHAnsi" w:hAnsiTheme="minorHAnsi"/>
          <w:sz w:val="22"/>
        </w:rPr>
      </w:pPr>
      <w:r w:rsidRPr="00116404">
        <w:rPr>
          <w:rFonts w:asciiTheme="minorHAnsi" w:hAnsiTheme="minorHAnsi"/>
          <w:sz w:val="22"/>
        </w:rPr>
        <w:t xml:space="preserve">Ensure that Pupil Premium (PP) funding is </w:t>
      </w:r>
      <w:r w:rsidR="00B11D5A" w:rsidRPr="00116404">
        <w:rPr>
          <w:rFonts w:asciiTheme="minorHAnsi" w:hAnsiTheme="minorHAnsi"/>
          <w:sz w:val="22"/>
        </w:rPr>
        <w:t>ring-fenced</w:t>
      </w:r>
      <w:r w:rsidRPr="00116404">
        <w:rPr>
          <w:rFonts w:asciiTheme="minorHAnsi" w:hAnsiTheme="minorHAnsi"/>
          <w:sz w:val="22"/>
        </w:rPr>
        <w:t xml:space="preserve"> </w:t>
      </w:r>
      <w:r w:rsidR="00CE3BFE" w:rsidRPr="00116404">
        <w:rPr>
          <w:rFonts w:asciiTheme="minorHAnsi" w:hAnsiTheme="minorHAnsi"/>
          <w:sz w:val="22"/>
        </w:rPr>
        <w:t xml:space="preserve">so it is always </w:t>
      </w:r>
      <w:r w:rsidRPr="00116404">
        <w:rPr>
          <w:rFonts w:asciiTheme="minorHAnsi" w:hAnsiTheme="minorHAnsi"/>
          <w:sz w:val="22"/>
        </w:rPr>
        <w:t>spent on pupils it is intended to support</w:t>
      </w:r>
    </w:p>
    <w:p w14:paraId="586A1931" w14:textId="1675074E" w:rsidR="003C79A5" w:rsidRPr="00116404" w:rsidRDefault="003C79A5" w:rsidP="00FC51F2">
      <w:pPr>
        <w:pStyle w:val="ListParagraph"/>
        <w:numPr>
          <w:ilvl w:val="0"/>
          <w:numId w:val="24"/>
        </w:numPr>
        <w:spacing w:after="0" w:line="240" w:lineRule="auto"/>
        <w:jc w:val="both"/>
        <w:rPr>
          <w:rFonts w:asciiTheme="minorHAnsi" w:hAnsiTheme="minorHAnsi"/>
          <w:sz w:val="22"/>
        </w:rPr>
      </w:pPr>
      <w:r>
        <w:rPr>
          <w:rFonts w:asciiTheme="minorHAnsi" w:hAnsiTheme="minorHAnsi"/>
          <w:sz w:val="22"/>
        </w:rPr>
        <w:t>Ensure governors are fully involved in the decision making and evaluation processes.</w:t>
      </w:r>
    </w:p>
    <w:p w14:paraId="2BAC1255" w14:textId="77777777" w:rsidR="00CE687D" w:rsidRPr="00116404" w:rsidRDefault="00CE3BFE" w:rsidP="00FC51F2">
      <w:pPr>
        <w:pStyle w:val="ListParagraph"/>
        <w:numPr>
          <w:ilvl w:val="0"/>
          <w:numId w:val="24"/>
        </w:numPr>
        <w:spacing w:after="0" w:line="240" w:lineRule="auto"/>
        <w:jc w:val="both"/>
        <w:rPr>
          <w:rFonts w:asciiTheme="minorHAnsi" w:hAnsiTheme="minorHAnsi"/>
          <w:sz w:val="22"/>
        </w:rPr>
      </w:pPr>
      <w:r w:rsidRPr="00116404">
        <w:rPr>
          <w:rFonts w:asciiTheme="minorHAnsi" w:hAnsiTheme="minorHAnsi"/>
          <w:sz w:val="22"/>
        </w:rPr>
        <w:t>Avoid confusion between entitlement to PP support and perceptions of lower ability; m</w:t>
      </w:r>
      <w:r w:rsidR="00CE687D" w:rsidRPr="00116404">
        <w:rPr>
          <w:rFonts w:asciiTheme="minorHAnsi" w:hAnsiTheme="minorHAnsi"/>
          <w:sz w:val="22"/>
        </w:rPr>
        <w:t>aintain high expectations of pupils eligible for PP including via individual success criteria</w:t>
      </w:r>
    </w:p>
    <w:p w14:paraId="03481C3A" w14:textId="77777777" w:rsidR="00CE687D" w:rsidRPr="00116404" w:rsidRDefault="00CE687D" w:rsidP="00FC51F2">
      <w:pPr>
        <w:pStyle w:val="ListParagraph"/>
        <w:numPr>
          <w:ilvl w:val="0"/>
          <w:numId w:val="24"/>
        </w:numPr>
        <w:spacing w:after="0" w:line="240" w:lineRule="auto"/>
        <w:jc w:val="both"/>
        <w:rPr>
          <w:rFonts w:asciiTheme="minorHAnsi" w:hAnsiTheme="minorHAnsi"/>
          <w:sz w:val="22"/>
        </w:rPr>
      </w:pPr>
      <w:r w:rsidRPr="00116404">
        <w:rPr>
          <w:rFonts w:asciiTheme="minorHAnsi" w:hAnsiTheme="minorHAnsi"/>
          <w:sz w:val="22"/>
        </w:rPr>
        <w:t>Focus on core learning in Reading, Writing and Mathematics</w:t>
      </w:r>
      <w:r w:rsidR="00116404">
        <w:rPr>
          <w:rFonts w:asciiTheme="minorHAnsi" w:hAnsiTheme="minorHAnsi"/>
          <w:sz w:val="22"/>
        </w:rPr>
        <w:t xml:space="preserve"> and recognise the importance of daily high-quality teaching</w:t>
      </w:r>
      <w:r w:rsidR="00632750">
        <w:rPr>
          <w:rFonts w:asciiTheme="minorHAnsi" w:hAnsiTheme="minorHAnsi"/>
          <w:sz w:val="22"/>
        </w:rPr>
        <w:t xml:space="preserve"> so that children </w:t>
      </w:r>
      <w:r w:rsidR="000357F3">
        <w:rPr>
          <w:rFonts w:asciiTheme="minorHAnsi" w:hAnsiTheme="minorHAnsi"/>
          <w:sz w:val="22"/>
        </w:rPr>
        <w:t>‘</w:t>
      </w:r>
      <w:r w:rsidR="00632750">
        <w:rPr>
          <w:rFonts w:asciiTheme="minorHAnsi" w:hAnsiTheme="minorHAnsi"/>
          <w:sz w:val="22"/>
        </w:rPr>
        <w:t>keep up</w:t>
      </w:r>
      <w:r w:rsidR="000357F3">
        <w:rPr>
          <w:rFonts w:asciiTheme="minorHAnsi" w:hAnsiTheme="minorHAnsi"/>
          <w:sz w:val="22"/>
        </w:rPr>
        <w:t>’</w:t>
      </w:r>
      <w:r w:rsidR="00632750">
        <w:rPr>
          <w:rFonts w:asciiTheme="minorHAnsi" w:hAnsiTheme="minorHAnsi"/>
          <w:sz w:val="22"/>
        </w:rPr>
        <w:t xml:space="preserve"> rather than ‘catch up’.</w:t>
      </w:r>
    </w:p>
    <w:p w14:paraId="006F8C48" w14:textId="77777777" w:rsidR="008354A8" w:rsidRDefault="00D87C4C" w:rsidP="008354A8">
      <w:pPr>
        <w:pStyle w:val="ListParagraph"/>
        <w:numPr>
          <w:ilvl w:val="0"/>
          <w:numId w:val="24"/>
        </w:numPr>
        <w:spacing w:after="0" w:line="240" w:lineRule="auto"/>
        <w:jc w:val="both"/>
        <w:rPr>
          <w:rFonts w:asciiTheme="minorHAnsi" w:hAnsiTheme="minorHAnsi"/>
          <w:sz w:val="22"/>
        </w:rPr>
      </w:pPr>
      <w:r w:rsidRPr="00116404">
        <w:rPr>
          <w:rFonts w:asciiTheme="minorHAnsi" w:hAnsiTheme="minorHAnsi"/>
          <w:sz w:val="22"/>
        </w:rPr>
        <w:t>Ensure that relevant staff know which children are eligible for PP and so can take responsibility for accelerating their progress</w:t>
      </w:r>
      <w:r w:rsidR="000776A3" w:rsidRPr="00116404">
        <w:rPr>
          <w:rFonts w:asciiTheme="minorHAnsi" w:hAnsiTheme="minorHAnsi"/>
          <w:sz w:val="22"/>
        </w:rPr>
        <w:t>; ensure this is part of the school’s performance management system</w:t>
      </w:r>
      <w:r w:rsidRPr="00116404">
        <w:rPr>
          <w:rFonts w:asciiTheme="minorHAnsi" w:hAnsiTheme="minorHAnsi"/>
          <w:sz w:val="22"/>
        </w:rPr>
        <w:t xml:space="preserve"> </w:t>
      </w:r>
    </w:p>
    <w:p w14:paraId="526543E8" w14:textId="77777777" w:rsidR="000776A3" w:rsidRPr="008354A8" w:rsidRDefault="00CE687D" w:rsidP="00DD235C">
      <w:pPr>
        <w:pStyle w:val="ListParagraph"/>
        <w:numPr>
          <w:ilvl w:val="0"/>
          <w:numId w:val="24"/>
        </w:numPr>
        <w:spacing w:after="0" w:line="240" w:lineRule="auto"/>
        <w:jc w:val="both"/>
        <w:rPr>
          <w:rFonts w:asciiTheme="minorHAnsi" w:hAnsiTheme="minorHAnsi"/>
          <w:sz w:val="22"/>
        </w:rPr>
      </w:pPr>
      <w:r w:rsidRPr="008354A8">
        <w:rPr>
          <w:rFonts w:asciiTheme="minorHAnsi" w:hAnsiTheme="minorHAnsi"/>
          <w:sz w:val="22"/>
        </w:rPr>
        <w:t>Use research and case studies (</w:t>
      </w:r>
      <w:r w:rsidR="00CE3BFE" w:rsidRPr="008354A8">
        <w:rPr>
          <w:rFonts w:asciiTheme="minorHAnsi" w:hAnsiTheme="minorHAnsi"/>
          <w:sz w:val="22"/>
        </w:rPr>
        <w:t xml:space="preserve">such </w:t>
      </w:r>
      <w:bookmarkStart w:id="0" w:name="_GoBack"/>
      <w:bookmarkEnd w:id="0"/>
      <w:r w:rsidR="00CE3BFE" w:rsidRPr="008354A8">
        <w:rPr>
          <w:rFonts w:asciiTheme="minorHAnsi" w:hAnsiTheme="minorHAnsi"/>
          <w:sz w:val="22"/>
        </w:rPr>
        <w:t xml:space="preserve">as </w:t>
      </w:r>
      <w:r w:rsidRPr="008354A8">
        <w:rPr>
          <w:rFonts w:asciiTheme="minorHAnsi" w:hAnsiTheme="minorHAnsi"/>
          <w:sz w:val="22"/>
        </w:rPr>
        <w:t>Sutton Trust, Ofsted</w:t>
      </w:r>
      <w:r w:rsidR="00844330" w:rsidRPr="008354A8">
        <w:rPr>
          <w:rFonts w:asciiTheme="minorHAnsi" w:hAnsiTheme="minorHAnsi"/>
          <w:sz w:val="22"/>
        </w:rPr>
        <w:t>, Education Endowment Fund toolkit</w:t>
      </w:r>
      <w:r w:rsidR="008354A8" w:rsidRPr="008354A8">
        <w:rPr>
          <w:rStyle w:val="FootnoteReference"/>
          <w:rFonts w:asciiTheme="minorHAnsi" w:hAnsiTheme="minorHAnsi"/>
          <w:sz w:val="22"/>
        </w:rPr>
        <w:footnoteReference w:id="2"/>
      </w:r>
      <w:r w:rsidR="008354A8">
        <w:t xml:space="preserve">) </w:t>
      </w:r>
      <w:r w:rsidRPr="008354A8">
        <w:rPr>
          <w:rFonts w:asciiTheme="minorHAnsi" w:hAnsiTheme="minorHAnsi"/>
          <w:sz w:val="22"/>
        </w:rPr>
        <w:t>to guide planning and implementation</w:t>
      </w:r>
      <w:r w:rsidR="000D01E3" w:rsidRPr="008354A8">
        <w:rPr>
          <w:rFonts w:asciiTheme="minorHAnsi" w:hAnsiTheme="minorHAnsi"/>
          <w:sz w:val="22"/>
        </w:rPr>
        <w:t xml:space="preserve"> and spend </w:t>
      </w:r>
      <w:r w:rsidR="000776A3" w:rsidRPr="008354A8">
        <w:rPr>
          <w:rFonts w:asciiTheme="minorHAnsi" w:hAnsiTheme="minorHAnsi"/>
          <w:sz w:val="22"/>
        </w:rPr>
        <w:t>funding on ways known to be most effective</w:t>
      </w:r>
    </w:p>
    <w:p w14:paraId="11EAEA07" w14:textId="77777777" w:rsidR="000776A3" w:rsidRPr="00116404" w:rsidRDefault="00CE687D" w:rsidP="00FC51F2">
      <w:pPr>
        <w:pStyle w:val="ListParagraph"/>
        <w:numPr>
          <w:ilvl w:val="0"/>
          <w:numId w:val="24"/>
        </w:numPr>
        <w:spacing w:after="0" w:line="240" w:lineRule="auto"/>
        <w:jc w:val="both"/>
        <w:rPr>
          <w:rFonts w:asciiTheme="minorHAnsi" w:hAnsiTheme="minorHAnsi"/>
          <w:sz w:val="22"/>
        </w:rPr>
      </w:pPr>
      <w:r w:rsidRPr="00116404">
        <w:rPr>
          <w:rFonts w:asciiTheme="minorHAnsi" w:hAnsiTheme="minorHAnsi"/>
          <w:sz w:val="22"/>
        </w:rPr>
        <w:t xml:space="preserve">Track effectiveness of the strategies in use by </w:t>
      </w:r>
      <w:r w:rsidR="000357F3">
        <w:rPr>
          <w:rFonts w:asciiTheme="minorHAnsi" w:hAnsiTheme="minorHAnsi"/>
          <w:sz w:val="22"/>
        </w:rPr>
        <w:t xml:space="preserve">robustly monitoring and </w:t>
      </w:r>
      <w:r w:rsidRPr="00116404">
        <w:rPr>
          <w:rFonts w:asciiTheme="minorHAnsi" w:hAnsiTheme="minorHAnsi"/>
          <w:sz w:val="22"/>
        </w:rPr>
        <w:t>measuring impact</w:t>
      </w:r>
      <w:r w:rsidR="000357F3">
        <w:rPr>
          <w:rFonts w:asciiTheme="minorHAnsi" w:hAnsiTheme="minorHAnsi"/>
          <w:sz w:val="22"/>
        </w:rPr>
        <w:t xml:space="preserve"> on a frequent basis, </w:t>
      </w:r>
      <w:r w:rsidR="00D87C4C" w:rsidRPr="00116404">
        <w:rPr>
          <w:rFonts w:asciiTheme="minorHAnsi" w:hAnsiTheme="minorHAnsi"/>
          <w:sz w:val="22"/>
        </w:rPr>
        <w:t>thus</w:t>
      </w:r>
      <w:r w:rsidR="00844330" w:rsidRPr="00116404">
        <w:rPr>
          <w:rFonts w:asciiTheme="minorHAnsi" w:hAnsiTheme="minorHAnsi"/>
          <w:sz w:val="22"/>
        </w:rPr>
        <w:t xml:space="preserve"> allow</w:t>
      </w:r>
      <w:r w:rsidR="000357F3">
        <w:rPr>
          <w:rFonts w:asciiTheme="minorHAnsi" w:hAnsiTheme="minorHAnsi"/>
          <w:sz w:val="22"/>
        </w:rPr>
        <w:t>ing</w:t>
      </w:r>
      <w:r w:rsidR="00844330" w:rsidRPr="00116404">
        <w:rPr>
          <w:rFonts w:asciiTheme="minorHAnsi" w:hAnsiTheme="minorHAnsi"/>
          <w:sz w:val="22"/>
        </w:rPr>
        <w:t xml:space="preserve"> for expedient adjustments as necessary</w:t>
      </w:r>
    </w:p>
    <w:p w14:paraId="7C20D19A" w14:textId="77777777" w:rsidR="000776A3" w:rsidRPr="00116404" w:rsidRDefault="000357F3" w:rsidP="00FC51F2">
      <w:pPr>
        <w:pStyle w:val="ListParagraph"/>
        <w:numPr>
          <w:ilvl w:val="0"/>
          <w:numId w:val="24"/>
        </w:numPr>
        <w:spacing w:after="0" w:line="240" w:lineRule="auto"/>
        <w:jc w:val="both"/>
        <w:rPr>
          <w:rFonts w:asciiTheme="minorHAnsi" w:hAnsiTheme="minorHAnsi"/>
          <w:sz w:val="22"/>
        </w:rPr>
      </w:pPr>
      <w:r>
        <w:rPr>
          <w:rFonts w:asciiTheme="minorHAnsi" w:hAnsiTheme="minorHAnsi"/>
          <w:sz w:val="22"/>
        </w:rPr>
        <w:t>Seek and p</w:t>
      </w:r>
      <w:r w:rsidR="000776A3" w:rsidRPr="00116404">
        <w:rPr>
          <w:rFonts w:asciiTheme="minorHAnsi" w:hAnsiTheme="minorHAnsi"/>
          <w:sz w:val="22"/>
        </w:rPr>
        <w:t>rovide high-quality CPD opportunities for all staff</w:t>
      </w:r>
    </w:p>
    <w:p w14:paraId="1215F097" w14:textId="77777777" w:rsidR="000776A3" w:rsidRPr="00116404" w:rsidRDefault="000776A3" w:rsidP="00FC51F2">
      <w:pPr>
        <w:pStyle w:val="ListParagraph"/>
        <w:numPr>
          <w:ilvl w:val="0"/>
          <w:numId w:val="24"/>
        </w:numPr>
        <w:spacing w:after="0" w:line="240" w:lineRule="auto"/>
        <w:jc w:val="both"/>
        <w:rPr>
          <w:rFonts w:asciiTheme="minorHAnsi" w:hAnsiTheme="minorHAnsi"/>
          <w:sz w:val="22"/>
        </w:rPr>
      </w:pPr>
      <w:r w:rsidRPr="00116404">
        <w:rPr>
          <w:rFonts w:asciiTheme="minorHAnsi" w:hAnsiTheme="minorHAnsi"/>
          <w:sz w:val="22"/>
        </w:rPr>
        <w:t xml:space="preserve">Ensure that funding is spent to raise standards and broaden opportunities </w:t>
      </w:r>
    </w:p>
    <w:p w14:paraId="6EBB9D34" w14:textId="77777777" w:rsidR="000357F3" w:rsidRDefault="000776A3" w:rsidP="00FC51F2">
      <w:pPr>
        <w:pStyle w:val="ListParagraph"/>
        <w:numPr>
          <w:ilvl w:val="0"/>
          <w:numId w:val="24"/>
        </w:numPr>
        <w:spacing w:after="0" w:line="240" w:lineRule="auto"/>
        <w:jc w:val="both"/>
        <w:rPr>
          <w:rFonts w:asciiTheme="minorHAnsi" w:hAnsiTheme="minorHAnsi"/>
          <w:sz w:val="22"/>
        </w:rPr>
      </w:pPr>
      <w:r w:rsidRPr="00116404">
        <w:rPr>
          <w:rFonts w:asciiTheme="minorHAnsi" w:hAnsiTheme="minorHAnsi"/>
          <w:sz w:val="22"/>
        </w:rPr>
        <w:t>Ensure demonstrable impact of each aspect of spending on the outcomes for pupils</w:t>
      </w:r>
    </w:p>
    <w:p w14:paraId="2E8AD79E" w14:textId="77777777" w:rsidR="00460167" w:rsidRPr="00460167" w:rsidRDefault="000357F3" w:rsidP="00FC51F2">
      <w:pPr>
        <w:pStyle w:val="ListParagraph"/>
        <w:numPr>
          <w:ilvl w:val="0"/>
          <w:numId w:val="24"/>
        </w:numPr>
        <w:spacing w:after="0" w:line="240" w:lineRule="auto"/>
        <w:jc w:val="both"/>
        <w:rPr>
          <w:rFonts w:asciiTheme="minorHAnsi" w:hAnsiTheme="minorHAnsi"/>
          <w:sz w:val="22"/>
        </w:rPr>
      </w:pPr>
      <w:r>
        <w:rPr>
          <w:rFonts w:asciiTheme="minorHAnsi" w:hAnsiTheme="minorHAnsi"/>
          <w:sz w:val="22"/>
        </w:rPr>
        <w:t xml:space="preserve">Provide </w:t>
      </w:r>
      <w:r w:rsidR="00882429">
        <w:rPr>
          <w:rFonts w:asciiTheme="minorHAnsi" w:hAnsiTheme="minorHAnsi"/>
          <w:sz w:val="22"/>
        </w:rPr>
        <w:t>transparent report</w:t>
      </w:r>
      <w:r>
        <w:rPr>
          <w:rFonts w:asciiTheme="minorHAnsi" w:hAnsiTheme="minorHAnsi"/>
          <w:sz w:val="22"/>
        </w:rPr>
        <w:t>i</w:t>
      </w:r>
      <w:r w:rsidR="00882429">
        <w:rPr>
          <w:rFonts w:asciiTheme="minorHAnsi" w:hAnsiTheme="minorHAnsi"/>
          <w:sz w:val="22"/>
        </w:rPr>
        <w:t>ng</w:t>
      </w:r>
      <w:r>
        <w:rPr>
          <w:rFonts w:asciiTheme="minorHAnsi" w:hAnsiTheme="minorHAnsi"/>
          <w:sz w:val="22"/>
        </w:rPr>
        <w:t xml:space="preserve"> processes</w:t>
      </w:r>
      <w:r w:rsidR="00882429">
        <w:rPr>
          <w:rFonts w:asciiTheme="minorHAnsi" w:hAnsiTheme="minorHAnsi"/>
          <w:sz w:val="22"/>
        </w:rPr>
        <w:t xml:space="preserve"> </w:t>
      </w:r>
      <w:r w:rsidR="00460167" w:rsidRPr="00460167">
        <w:rPr>
          <w:rFonts w:asciiTheme="minorHAnsi" w:hAnsiTheme="minorHAnsi"/>
          <w:sz w:val="22"/>
        </w:rPr>
        <w:t xml:space="preserve">so that our parents, </w:t>
      </w:r>
      <w:r>
        <w:rPr>
          <w:rFonts w:asciiTheme="minorHAnsi" w:hAnsiTheme="minorHAnsi"/>
          <w:sz w:val="22"/>
        </w:rPr>
        <w:t xml:space="preserve">governors, </w:t>
      </w:r>
      <w:r w:rsidR="00460167" w:rsidRPr="00460167">
        <w:rPr>
          <w:rFonts w:asciiTheme="minorHAnsi" w:hAnsiTheme="minorHAnsi"/>
          <w:sz w:val="22"/>
        </w:rPr>
        <w:t>interested stakeholders and Ofsted are fully aware of how this additional resource has been</w:t>
      </w:r>
      <w:r>
        <w:rPr>
          <w:rFonts w:asciiTheme="minorHAnsi" w:hAnsiTheme="minorHAnsi"/>
          <w:sz w:val="22"/>
        </w:rPr>
        <w:t xml:space="preserve"> used to make a difference</w:t>
      </w:r>
    </w:p>
    <w:p w14:paraId="1F7E8877" w14:textId="77777777" w:rsidR="00F3595F" w:rsidRPr="00406B98" w:rsidRDefault="00CE687D" w:rsidP="00FC51F2">
      <w:pPr>
        <w:pStyle w:val="ListParagraph"/>
        <w:numPr>
          <w:ilvl w:val="0"/>
          <w:numId w:val="24"/>
        </w:numPr>
        <w:spacing w:line="240" w:lineRule="auto"/>
        <w:jc w:val="both"/>
        <w:rPr>
          <w:rFonts w:asciiTheme="minorHAnsi" w:hAnsiTheme="minorHAnsi"/>
          <w:sz w:val="22"/>
        </w:rPr>
      </w:pPr>
      <w:r w:rsidRPr="00406B98">
        <w:rPr>
          <w:rFonts w:asciiTheme="minorHAnsi" w:hAnsiTheme="minorHAnsi"/>
          <w:sz w:val="22"/>
        </w:rPr>
        <w:t xml:space="preserve">Break down barriers to learning </w:t>
      </w:r>
      <w:r w:rsidR="000776A3" w:rsidRPr="00406B98">
        <w:rPr>
          <w:rFonts w:asciiTheme="minorHAnsi" w:hAnsiTheme="minorHAnsi"/>
          <w:sz w:val="22"/>
        </w:rPr>
        <w:t xml:space="preserve">(including </w:t>
      </w:r>
      <w:r w:rsidR="000357F3">
        <w:rPr>
          <w:rFonts w:asciiTheme="minorHAnsi" w:hAnsiTheme="minorHAnsi"/>
          <w:sz w:val="22"/>
        </w:rPr>
        <w:t xml:space="preserve">poor </w:t>
      </w:r>
      <w:r w:rsidR="000776A3" w:rsidRPr="00406B98">
        <w:rPr>
          <w:rFonts w:asciiTheme="minorHAnsi" w:hAnsiTheme="minorHAnsi"/>
          <w:sz w:val="22"/>
        </w:rPr>
        <w:t xml:space="preserve">attendance, behaviour </w:t>
      </w:r>
      <w:r w:rsidR="000357F3">
        <w:rPr>
          <w:rFonts w:asciiTheme="minorHAnsi" w:hAnsiTheme="minorHAnsi"/>
          <w:sz w:val="22"/>
        </w:rPr>
        <w:t>or</w:t>
      </w:r>
      <w:r w:rsidR="000776A3" w:rsidRPr="00406B98">
        <w:rPr>
          <w:rFonts w:asciiTheme="minorHAnsi" w:hAnsiTheme="minorHAnsi"/>
          <w:sz w:val="22"/>
        </w:rPr>
        <w:t xml:space="preserve"> links with families) </w:t>
      </w:r>
      <w:r w:rsidRPr="00406B98">
        <w:rPr>
          <w:rFonts w:asciiTheme="minorHAnsi" w:hAnsiTheme="minorHAnsi"/>
          <w:sz w:val="22"/>
        </w:rPr>
        <w:t>to ensure that every PP pupil learns, enjoys and succeeds</w:t>
      </w:r>
    </w:p>
    <w:p w14:paraId="5445FC52" w14:textId="77777777" w:rsidR="005C2569" w:rsidRDefault="005C2569" w:rsidP="000E72F4">
      <w:pPr>
        <w:spacing w:after="0" w:line="240" w:lineRule="auto"/>
        <w:jc w:val="both"/>
        <w:rPr>
          <w:b/>
        </w:rPr>
        <w:sectPr w:rsidR="005C2569" w:rsidSect="00003E0C">
          <w:headerReference w:type="default" r:id="rId8"/>
          <w:footerReference w:type="default" r:id="rId9"/>
          <w:headerReference w:type="first" r:id="rId10"/>
          <w:footerReference w:type="first" r:id="rId11"/>
          <w:type w:val="continuous"/>
          <w:pgSz w:w="11906" w:h="16838"/>
          <w:pgMar w:top="720" w:right="720" w:bottom="720" w:left="720" w:header="240" w:footer="372" w:gutter="0"/>
          <w:cols w:space="708"/>
          <w:docGrid w:linePitch="360"/>
        </w:sectPr>
      </w:pPr>
    </w:p>
    <w:p w14:paraId="1BEDAD62" w14:textId="77777777" w:rsidR="003C7E77" w:rsidRPr="003C79A5" w:rsidRDefault="00074165" w:rsidP="003C79A5">
      <w:pPr>
        <w:shd w:val="clear" w:color="auto" w:fill="244061" w:themeFill="accent1" w:themeFillShade="80"/>
        <w:spacing w:after="0" w:line="240" w:lineRule="auto"/>
        <w:jc w:val="both"/>
        <w:rPr>
          <w:b/>
        </w:rPr>
      </w:pPr>
      <w:r w:rsidRPr="003C79A5">
        <w:rPr>
          <w:b/>
        </w:rPr>
        <w:lastRenderedPageBreak/>
        <w:t>Proposed strategies 2015-2016</w:t>
      </w:r>
    </w:p>
    <w:p w14:paraId="261B55BB" w14:textId="77777777" w:rsidR="00B11D5A" w:rsidRPr="003C79A5" w:rsidRDefault="00B11D5A" w:rsidP="000E72F4">
      <w:pPr>
        <w:spacing w:after="0" w:line="240" w:lineRule="auto"/>
        <w:jc w:val="both"/>
      </w:pPr>
    </w:p>
    <w:p w14:paraId="01B4B876" w14:textId="77A58A10" w:rsidR="00B11D5A" w:rsidRPr="003C79A5" w:rsidRDefault="00B11D5A" w:rsidP="000E72F4">
      <w:pPr>
        <w:spacing w:after="0" w:line="240" w:lineRule="auto"/>
        <w:jc w:val="both"/>
      </w:pPr>
      <w:r w:rsidRPr="003C79A5">
        <w:t xml:space="preserve">Pupils Premium spend will focus on one of the </w:t>
      </w:r>
      <w:r w:rsidR="00B4622C" w:rsidRPr="003C79A5">
        <w:t>following</w:t>
      </w:r>
      <w:r w:rsidRPr="003C79A5">
        <w:t xml:space="preserve"> three areas with a particular focus on narrowing the gap between pupil premium and </w:t>
      </w:r>
      <w:r w:rsidR="003C79A5" w:rsidRPr="003C79A5">
        <w:t>non-pupil</w:t>
      </w:r>
      <w:r w:rsidRPr="003C79A5">
        <w:t xml:space="preserve"> </w:t>
      </w:r>
      <w:r w:rsidR="00B4622C" w:rsidRPr="003C79A5">
        <w:t>premium</w:t>
      </w:r>
      <w:r w:rsidRPr="003C79A5">
        <w:t xml:space="preserve"> </w:t>
      </w:r>
      <w:r w:rsidR="00B4622C" w:rsidRPr="003C79A5">
        <w:t>children</w:t>
      </w:r>
      <w:r w:rsidR="003C79A5" w:rsidRPr="003C79A5">
        <w:t xml:space="preserve"> </w:t>
      </w:r>
      <w:r w:rsidR="00B4622C" w:rsidRPr="003C79A5">
        <w:t xml:space="preserve">and ensuring those children who are eligible for </w:t>
      </w:r>
      <w:r w:rsidR="003C79A5" w:rsidRPr="003C79A5">
        <w:t>Pupil</w:t>
      </w:r>
      <w:r w:rsidR="00B4622C" w:rsidRPr="003C79A5">
        <w:t xml:space="preserve"> Premium are enabled to ‘keep up’ rather than ‘catch up’</w:t>
      </w:r>
    </w:p>
    <w:p w14:paraId="24AE8146" w14:textId="77777777" w:rsidR="003C79A5" w:rsidRPr="003C79A5" w:rsidRDefault="003C79A5" w:rsidP="000E72F4">
      <w:pPr>
        <w:spacing w:after="0" w:line="240" w:lineRule="auto"/>
        <w:jc w:val="both"/>
        <w:rPr>
          <w:b/>
        </w:rPr>
      </w:pPr>
    </w:p>
    <w:p w14:paraId="415DD4A1" w14:textId="47B2F662" w:rsidR="00B4622C" w:rsidRPr="003C79A5" w:rsidRDefault="00B4622C" w:rsidP="00B4622C">
      <w:pPr>
        <w:pStyle w:val="ListParagraph"/>
        <w:numPr>
          <w:ilvl w:val="0"/>
          <w:numId w:val="32"/>
        </w:numPr>
        <w:spacing w:after="0" w:line="240" w:lineRule="auto"/>
        <w:jc w:val="both"/>
        <w:rPr>
          <w:rFonts w:asciiTheme="minorHAnsi" w:hAnsiTheme="minorHAnsi"/>
          <w:sz w:val="22"/>
        </w:rPr>
      </w:pPr>
      <w:r w:rsidRPr="003C79A5">
        <w:rPr>
          <w:rFonts w:asciiTheme="minorHAnsi" w:hAnsiTheme="minorHAnsi"/>
          <w:sz w:val="22"/>
        </w:rPr>
        <w:t>Focus on learning in the curriculum</w:t>
      </w:r>
    </w:p>
    <w:p w14:paraId="45009DBF" w14:textId="43B0902A" w:rsidR="00B4622C" w:rsidRPr="003C79A5" w:rsidRDefault="00B4622C" w:rsidP="00B4622C">
      <w:pPr>
        <w:pStyle w:val="ListParagraph"/>
        <w:numPr>
          <w:ilvl w:val="0"/>
          <w:numId w:val="32"/>
        </w:numPr>
        <w:spacing w:after="0" w:line="240" w:lineRule="auto"/>
        <w:jc w:val="both"/>
        <w:rPr>
          <w:rFonts w:asciiTheme="minorHAnsi" w:hAnsiTheme="minorHAnsi"/>
          <w:sz w:val="22"/>
        </w:rPr>
      </w:pPr>
      <w:r w:rsidRPr="003C79A5">
        <w:rPr>
          <w:rFonts w:asciiTheme="minorHAnsi" w:hAnsiTheme="minorHAnsi"/>
          <w:sz w:val="22"/>
        </w:rPr>
        <w:t>Focus on social, emotional and behaviour</w:t>
      </w:r>
    </w:p>
    <w:p w14:paraId="400E58E2" w14:textId="01749EF0" w:rsidR="00B4622C" w:rsidRPr="003C79A5" w:rsidRDefault="00B4622C" w:rsidP="00B4622C">
      <w:pPr>
        <w:pStyle w:val="ListParagraph"/>
        <w:numPr>
          <w:ilvl w:val="0"/>
          <w:numId w:val="32"/>
        </w:numPr>
        <w:spacing w:after="0" w:line="240" w:lineRule="auto"/>
        <w:jc w:val="both"/>
        <w:rPr>
          <w:rFonts w:asciiTheme="minorHAnsi" w:hAnsiTheme="minorHAnsi"/>
          <w:b/>
          <w:sz w:val="22"/>
        </w:rPr>
      </w:pPr>
      <w:r w:rsidRPr="003C79A5">
        <w:rPr>
          <w:rFonts w:asciiTheme="minorHAnsi" w:hAnsiTheme="minorHAnsi"/>
          <w:sz w:val="22"/>
        </w:rPr>
        <w:t>Focus on enrichment</w:t>
      </w:r>
    </w:p>
    <w:p w14:paraId="0447EB96" w14:textId="77777777" w:rsidR="00B11D5A" w:rsidRPr="003C79A5" w:rsidRDefault="00B11D5A" w:rsidP="000E72F4">
      <w:pPr>
        <w:spacing w:after="0" w:line="240" w:lineRule="auto"/>
        <w:jc w:val="both"/>
        <w:rPr>
          <w:b/>
        </w:rPr>
      </w:pPr>
    </w:p>
    <w:p w14:paraId="562580AE" w14:textId="5993F079" w:rsidR="00B11D5A" w:rsidRPr="003C79A5" w:rsidRDefault="00B4622C" w:rsidP="003C79A5">
      <w:pPr>
        <w:shd w:val="clear" w:color="auto" w:fill="244061" w:themeFill="accent1" w:themeFillShade="80"/>
        <w:spacing w:after="0" w:line="240" w:lineRule="auto"/>
        <w:jc w:val="both"/>
        <w:rPr>
          <w:b/>
        </w:rPr>
      </w:pPr>
      <w:r w:rsidRPr="003C79A5">
        <w:rPr>
          <w:b/>
        </w:rPr>
        <w:t>Proposed strategies include:</w:t>
      </w:r>
    </w:p>
    <w:p w14:paraId="00B519EB" w14:textId="77777777" w:rsidR="00A819FA" w:rsidRPr="003C79A5" w:rsidRDefault="00A819FA" w:rsidP="000E72F4">
      <w:pPr>
        <w:spacing w:after="0" w:line="240" w:lineRule="auto"/>
        <w:jc w:val="both"/>
        <w:rPr>
          <w:b/>
        </w:rPr>
      </w:pPr>
    </w:p>
    <w:p w14:paraId="581B2E3D" w14:textId="77777777" w:rsidR="00B11D5A" w:rsidRPr="003C79A5" w:rsidRDefault="00B11D5A" w:rsidP="003C79A5">
      <w:pPr>
        <w:numPr>
          <w:ilvl w:val="0"/>
          <w:numId w:val="30"/>
        </w:numPr>
        <w:tabs>
          <w:tab w:val="clear" w:pos="720"/>
          <w:tab w:val="num" w:pos="1440"/>
        </w:tabs>
        <w:spacing w:after="0" w:line="270" w:lineRule="atLeast"/>
        <w:textAlignment w:val="baseline"/>
        <w:rPr>
          <w:rFonts w:eastAsia="Times New Roman" w:cs="Times New Roman"/>
          <w:color w:val="474747"/>
        </w:rPr>
      </w:pPr>
      <w:r w:rsidRPr="003C79A5">
        <w:rPr>
          <w:rFonts w:eastAsia="Times New Roman" w:cs="Times New Roman"/>
          <w:color w:val="474747"/>
        </w:rPr>
        <w:t>Supporting families with uniform and clothing requirements</w:t>
      </w:r>
    </w:p>
    <w:p w14:paraId="25C9B49A" w14:textId="77777777" w:rsidR="00B11D5A" w:rsidRPr="003C79A5" w:rsidRDefault="00B11D5A" w:rsidP="003C79A5">
      <w:pPr>
        <w:numPr>
          <w:ilvl w:val="0"/>
          <w:numId w:val="30"/>
        </w:numPr>
        <w:tabs>
          <w:tab w:val="clear" w:pos="720"/>
          <w:tab w:val="num" w:pos="1440"/>
        </w:tabs>
        <w:spacing w:after="0" w:line="270" w:lineRule="atLeast"/>
        <w:textAlignment w:val="baseline"/>
        <w:rPr>
          <w:rFonts w:eastAsia="Times New Roman" w:cs="Times New Roman"/>
          <w:color w:val="474747"/>
        </w:rPr>
      </w:pPr>
      <w:r w:rsidRPr="003C79A5">
        <w:rPr>
          <w:rFonts w:eastAsia="Times New Roman" w:cs="Times New Roman"/>
          <w:color w:val="474747"/>
        </w:rPr>
        <w:t>Providing financial support for Extended School provision, enrichment opportunities, visits and trips.</w:t>
      </w:r>
    </w:p>
    <w:p w14:paraId="462234A3" w14:textId="77777777" w:rsidR="00B11D5A" w:rsidRPr="003C79A5" w:rsidRDefault="00B11D5A" w:rsidP="003C79A5">
      <w:pPr>
        <w:numPr>
          <w:ilvl w:val="0"/>
          <w:numId w:val="30"/>
        </w:numPr>
        <w:tabs>
          <w:tab w:val="clear" w:pos="720"/>
          <w:tab w:val="num" w:pos="1440"/>
        </w:tabs>
        <w:spacing w:after="0" w:line="270" w:lineRule="atLeast"/>
        <w:textAlignment w:val="baseline"/>
        <w:rPr>
          <w:rFonts w:eastAsia="Times New Roman" w:cs="Times New Roman"/>
          <w:color w:val="474747"/>
        </w:rPr>
      </w:pPr>
      <w:r w:rsidRPr="003C79A5">
        <w:rPr>
          <w:rFonts w:eastAsia="Times New Roman" w:cs="Times New Roman"/>
          <w:color w:val="474747"/>
        </w:rPr>
        <w:t>Teaching children in smaller class sizes and in small groups for key aspects of the core subjects</w:t>
      </w:r>
    </w:p>
    <w:p w14:paraId="294A3000" w14:textId="77777777" w:rsidR="00B11D5A" w:rsidRPr="00B11D5A" w:rsidRDefault="00B11D5A" w:rsidP="003C79A5">
      <w:pPr>
        <w:numPr>
          <w:ilvl w:val="0"/>
          <w:numId w:val="31"/>
        </w:numPr>
        <w:tabs>
          <w:tab w:val="clear" w:pos="720"/>
          <w:tab w:val="num" w:pos="1440"/>
        </w:tabs>
        <w:spacing w:after="0" w:line="270" w:lineRule="atLeast"/>
        <w:textAlignment w:val="baseline"/>
        <w:rPr>
          <w:rFonts w:ascii="Lucida Sans" w:eastAsia="Times New Roman" w:hAnsi="Lucida Sans" w:cs="Times New Roman"/>
          <w:color w:val="474747"/>
          <w:sz w:val="18"/>
          <w:szCs w:val="18"/>
        </w:rPr>
      </w:pPr>
      <w:r w:rsidRPr="003C79A5">
        <w:rPr>
          <w:rFonts w:eastAsia="Times New Roman" w:cs="Times New Roman"/>
          <w:color w:val="474747"/>
        </w:rPr>
        <w:t>Running focussed interventions</w:t>
      </w:r>
      <w:r w:rsidRPr="00B11D5A">
        <w:rPr>
          <w:rFonts w:ascii="Lucida Sans" w:eastAsia="Times New Roman" w:hAnsi="Lucida Sans" w:cs="Times New Roman"/>
          <w:color w:val="474747"/>
          <w:sz w:val="18"/>
          <w:szCs w:val="18"/>
        </w:rPr>
        <w:t>, including 1:1 tuition for specific children identified through pupil Progress Meetings</w:t>
      </w:r>
    </w:p>
    <w:p w14:paraId="1E20413A" w14:textId="3E4634FB" w:rsidR="00B11D5A" w:rsidRPr="00B11D5A" w:rsidRDefault="00B11D5A" w:rsidP="003C79A5">
      <w:pPr>
        <w:numPr>
          <w:ilvl w:val="0"/>
          <w:numId w:val="31"/>
        </w:numPr>
        <w:tabs>
          <w:tab w:val="clear" w:pos="720"/>
          <w:tab w:val="num" w:pos="1440"/>
        </w:tabs>
        <w:spacing w:after="0" w:line="270" w:lineRule="atLeast"/>
        <w:textAlignment w:val="baseline"/>
        <w:rPr>
          <w:rFonts w:ascii="Lucida Sans" w:eastAsia="Times New Roman" w:hAnsi="Lucida Sans" w:cs="Times New Roman"/>
          <w:color w:val="474747"/>
          <w:sz w:val="18"/>
          <w:szCs w:val="18"/>
        </w:rPr>
      </w:pPr>
      <w:r w:rsidRPr="00B11D5A">
        <w:rPr>
          <w:rFonts w:ascii="Lucida Sans" w:eastAsia="Times New Roman" w:hAnsi="Lucida Sans" w:cs="Times New Roman"/>
          <w:color w:val="474747"/>
          <w:sz w:val="18"/>
          <w:szCs w:val="18"/>
        </w:rPr>
        <w:t xml:space="preserve">Recruiting additional teaching support staff and funding </w:t>
      </w:r>
      <w:r w:rsidR="00B4622C">
        <w:rPr>
          <w:rFonts w:ascii="Lucida Sans" w:eastAsia="Times New Roman" w:hAnsi="Lucida Sans" w:cs="Times New Roman"/>
          <w:color w:val="474747"/>
          <w:sz w:val="18"/>
          <w:szCs w:val="18"/>
        </w:rPr>
        <w:t xml:space="preserve">release time for class teacher </w:t>
      </w:r>
    </w:p>
    <w:p w14:paraId="3EAFEF5D" w14:textId="77777777" w:rsidR="00A819FA" w:rsidRDefault="00A819FA" w:rsidP="000E72F4">
      <w:pPr>
        <w:spacing w:after="0" w:line="240" w:lineRule="auto"/>
        <w:jc w:val="both"/>
        <w:rPr>
          <w:b/>
        </w:rPr>
      </w:pPr>
    </w:p>
    <w:p w14:paraId="2067F692" w14:textId="5D7EB751" w:rsidR="00B11D5A" w:rsidRPr="003C79A5" w:rsidRDefault="00B11D5A" w:rsidP="00B11D5A">
      <w:pPr>
        <w:spacing w:after="0" w:line="240" w:lineRule="auto"/>
        <w:jc w:val="both"/>
        <w:rPr>
          <w:i/>
          <w:color w:val="0F243E" w:themeColor="text2" w:themeShade="80"/>
        </w:rPr>
      </w:pPr>
      <w:r w:rsidRPr="003C79A5">
        <w:rPr>
          <w:i/>
          <w:color w:val="0F243E" w:themeColor="text2" w:themeShade="80"/>
        </w:rPr>
        <w:t xml:space="preserve">Individual approaches will be planned and implemented for Reception pupils as soon as confirmation of entitlement and information from visits and (where applicable) from Nursery settings is available and an initial diagnostic assessment has been made. They will benefit from day one in terms of support including differentiation </w:t>
      </w:r>
      <w:r w:rsidR="003C79A5" w:rsidRPr="003C79A5">
        <w:rPr>
          <w:i/>
          <w:color w:val="0F243E" w:themeColor="text2" w:themeShade="80"/>
        </w:rPr>
        <w:t>and early</w:t>
      </w:r>
      <w:r w:rsidRPr="003C79A5">
        <w:rPr>
          <w:i/>
          <w:color w:val="0F243E" w:themeColor="text2" w:themeShade="80"/>
        </w:rPr>
        <w:t xml:space="preserve"> intervention programmes.</w:t>
      </w:r>
    </w:p>
    <w:p w14:paraId="44A70980" w14:textId="7B0453F1" w:rsidR="00272D69" w:rsidRDefault="00272D69" w:rsidP="000E72F4">
      <w:pPr>
        <w:spacing w:after="0" w:line="240" w:lineRule="auto"/>
        <w:jc w:val="both"/>
        <w:rPr>
          <w:b/>
        </w:rPr>
      </w:pPr>
    </w:p>
    <w:p w14:paraId="57C79BFA" w14:textId="6D897132" w:rsidR="00272D69" w:rsidRDefault="00272D69" w:rsidP="000E72F4">
      <w:pPr>
        <w:spacing w:after="0" w:line="240" w:lineRule="auto"/>
        <w:jc w:val="both"/>
        <w:rPr>
          <w:b/>
        </w:rPr>
      </w:pPr>
    </w:p>
    <w:p w14:paraId="4CC87DBB" w14:textId="48818340" w:rsidR="00272D69" w:rsidRDefault="00272D69" w:rsidP="000E72F4">
      <w:pPr>
        <w:spacing w:after="0" w:line="240" w:lineRule="auto"/>
        <w:jc w:val="both"/>
        <w:rPr>
          <w:b/>
        </w:rPr>
      </w:pPr>
    </w:p>
    <w:p w14:paraId="2B950AF0" w14:textId="5376AF8F" w:rsidR="00272D69" w:rsidRDefault="00272D69" w:rsidP="000E72F4">
      <w:pPr>
        <w:spacing w:after="0" w:line="240" w:lineRule="auto"/>
        <w:jc w:val="both"/>
        <w:rPr>
          <w:b/>
        </w:rPr>
      </w:pPr>
    </w:p>
    <w:p w14:paraId="0B39D53F" w14:textId="57081C8B" w:rsidR="00272D69" w:rsidRDefault="00272D69" w:rsidP="000E72F4">
      <w:pPr>
        <w:spacing w:after="0" w:line="240" w:lineRule="auto"/>
        <w:jc w:val="both"/>
        <w:rPr>
          <w:b/>
        </w:rPr>
      </w:pPr>
    </w:p>
    <w:p w14:paraId="6D3BD264" w14:textId="0EE85857" w:rsidR="00272D69" w:rsidRDefault="00272D69" w:rsidP="000E72F4">
      <w:pPr>
        <w:spacing w:after="0" w:line="240" w:lineRule="auto"/>
        <w:jc w:val="both"/>
        <w:rPr>
          <w:b/>
        </w:rPr>
      </w:pPr>
    </w:p>
    <w:p w14:paraId="0291AB92" w14:textId="6D7608F8" w:rsidR="00272D69" w:rsidRDefault="00272D69" w:rsidP="000E72F4">
      <w:pPr>
        <w:spacing w:after="0" w:line="240" w:lineRule="auto"/>
        <w:jc w:val="both"/>
        <w:rPr>
          <w:b/>
        </w:rPr>
      </w:pPr>
    </w:p>
    <w:p w14:paraId="6442F393" w14:textId="684A8B02" w:rsidR="00272D69" w:rsidRDefault="00272D69" w:rsidP="000E72F4">
      <w:pPr>
        <w:spacing w:after="0" w:line="240" w:lineRule="auto"/>
        <w:jc w:val="both"/>
        <w:rPr>
          <w:b/>
        </w:rPr>
      </w:pPr>
    </w:p>
    <w:p w14:paraId="0EC3B035" w14:textId="0CDAD62E" w:rsidR="00272D69" w:rsidRDefault="00272D69" w:rsidP="000E72F4">
      <w:pPr>
        <w:spacing w:after="0" w:line="240" w:lineRule="auto"/>
        <w:jc w:val="both"/>
        <w:rPr>
          <w:b/>
        </w:rPr>
      </w:pPr>
    </w:p>
    <w:p w14:paraId="4257518B" w14:textId="1B462BAC" w:rsidR="00272D69" w:rsidRDefault="00272D69" w:rsidP="000E72F4">
      <w:pPr>
        <w:spacing w:after="0" w:line="240" w:lineRule="auto"/>
        <w:jc w:val="both"/>
        <w:rPr>
          <w:b/>
        </w:rPr>
      </w:pPr>
    </w:p>
    <w:p w14:paraId="6E062446" w14:textId="1317D8C0" w:rsidR="00272D69" w:rsidRDefault="00272D69" w:rsidP="000E72F4">
      <w:pPr>
        <w:spacing w:after="0" w:line="240" w:lineRule="auto"/>
        <w:jc w:val="both"/>
        <w:rPr>
          <w:b/>
        </w:rPr>
      </w:pPr>
    </w:p>
    <w:p w14:paraId="14E2E9A9" w14:textId="40557312" w:rsidR="00272D69" w:rsidRDefault="00272D69" w:rsidP="000E72F4">
      <w:pPr>
        <w:spacing w:after="0" w:line="240" w:lineRule="auto"/>
        <w:jc w:val="both"/>
        <w:rPr>
          <w:b/>
        </w:rPr>
      </w:pPr>
    </w:p>
    <w:p w14:paraId="292C5315" w14:textId="70F721CA" w:rsidR="00272D69" w:rsidRDefault="00272D69" w:rsidP="000E72F4">
      <w:pPr>
        <w:spacing w:after="0" w:line="240" w:lineRule="auto"/>
        <w:jc w:val="both"/>
        <w:rPr>
          <w:b/>
        </w:rPr>
      </w:pPr>
    </w:p>
    <w:p w14:paraId="53D83985" w14:textId="654CF480" w:rsidR="00272D69" w:rsidRDefault="00272D69" w:rsidP="000E72F4">
      <w:pPr>
        <w:spacing w:after="0" w:line="240" w:lineRule="auto"/>
        <w:jc w:val="both"/>
        <w:rPr>
          <w:b/>
        </w:rPr>
      </w:pPr>
    </w:p>
    <w:p w14:paraId="544CC4FD" w14:textId="345A689B" w:rsidR="00272D69" w:rsidRDefault="00272D69" w:rsidP="000E72F4">
      <w:pPr>
        <w:spacing w:after="0" w:line="240" w:lineRule="auto"/>
        <w:jc w:val="both"/>
        <w:rPr>
          <w:b/>
        </w:rPr>
      </w:pPr>
    </w:p>
    <w:p w14:paraId="0B6BE1EC" w14:textId="22BD3407" w:rsidR="00272D69" w:rsidRDefault="00272D69" w:rsidP="000E72F4">
      <w:pPr>
        <w:spacing w:after="0" w:line="240" w:lineRule="auto"/>
        <w:jc w:val="both"/>
        <w:rPr>
          <w:b/>
        </w:rPr>
      </w:pPr>
    </w:p>
    <w:p w14:paraId="4F81A6DE" w14:textId="38D493D6" w:rsidR="00272D69" w:rsidRDefault="00272D69" w:rsidP="000E72F4">
      <w:pPr>
        <w:spacing w:after="0" w:line="240" w:lineRule="auto"/>
        <w:jc w:val="both"/>
        <w:rPr>
          <w:b/>
        </w:rPr>
      </w:pPr>
    </w:p>
    <w:p w14:paraId="4E384F95" w14:textId="626CEE90" w:rsidR="00272D69" w:rsidRDefault="00272D69" w:rsidP="000E72F4">
      <w:pPr>
        <w:spacing w:after="0" w:line="240" w:lineRule="auto"/>
        <w:jc w:val="both"/>
        <w:rPr>
          <w:b/>
        </w:rPr>
      </w:pPr>
    </w:p>
    <w:p w14:paraId="0808E774" w14:textId="049E6513" w:rsidR="00272D69" w:rsidRDefault="00272D69" w:rsidP="000E72F4">
      <w:pPr>
        <w:spacing w:after="0" w:line="240" w:lineRule="auto"/>
        <w:jc w:val="both"/>
        <w:rPr>
          <w:b/>
        </w:rPr>
      </w:pPr>
    </w:p>
    <w:p w14:paraId="4B983656" w14:textId="1AC8541A" w:rsidR="00272D69" w:rsidRDefault="00272D69" w:rsidP="000E72F4">
      <w:pPr>
        <w:spacing w:after="0" w:line="240" w:lineRule="auto"/>
        <w:jc w:val="both"/>
        <w:rPr>
          <w:b/>
        </w:rPr>
      </w:pPr>
    </w:p>
    <w:p w14:paraId="5A68F9C1" w14:textId="1C869EFA" w:rsidR="00272D69" w:rsidRDefault="00272D69" w:rsidP="000E72F4">
      <w:pPr>
        <w:spacing w:after="0" w:line="240" w:lineRule="auto"/>
        <w:jc w:val="both"/>
        <w:rPr>
          <w:b/>
        </w:rPr>
      </w:pPr>
    </w:p>
    <w:p w14:paraId="738D8EF2" w14:textId="3DB9A0A9" w:rsidR="001356D4" w:rsidRDefault="001356D4" w:rsidP="000E72F4">
      <w:pPr>
        <w:spacing w:after="0" w:line="240" w:lineRule="auto"/>
        <w:jc w:val="both"/>
        <w:rPr>
          <w:b/>
        </w:rPr>
      </w:pPr>
    </w:p>
    <w:p w14:paraId="15554033" w14:textId="6841CE40" w:rsidR="001356D4" w:rsidRDefault="001356D4" w:rsidP="000E72F4">
      <w:pPr>
        <w:spacing w:after="0" w:line="240" w:lineRule="auto"/>
        <w:jc w:val="both"/>
        <w:rPr>
          <w:b/>
        </w:rPr>
      </w:pPr>
    </w:p>
    <w:p w14:paraId="3F92679C" w14:textId="7CECCD2D" w:rsidR="001356D4" w:rsidRDefault="001356D4" w:rsidP="000E72F4">
      <w:pPr>
        <w:spacing w:after="0" w:line="240" w:lineRule="auto"/>
        <w:jc w:val="both"/>
        <w:rPr>
          <w:b/>
        </w:rPr>
      </w:pPr>
    </w:p>
    <w:p w14:paraId="23882964" w14:textId="165AB60E" w:rsidR="001356D4" w:rsidRDefault="001356D4" w:rsidP="000E72F4">
      <w:pPr>
        <w:spacing w:after="0" w:line="240" w:lineRule="auto"/>
        <w:jc w:val="both"/>
        <w:rPr>
          <w:b/>
        </w:rPr>
      </w:pPr>
    </w:p>
    <w:p w14:paraId="3106FBCC" w14:textId="547EE788" w:rsidR="001356D4" w:rsidRDefault="001356D4" w:rsidP="000E72F4">
      <w:pPr>
        <w:spacing w:after="0" w:line="240" w:lineRule="auto"/>
        <w:jc w:val="both"/>
        <w:rPr>
          <w:b/>
        </w:rPr>
      </w:pPr>
    </w:p>
    <w:p w14:paraId="23852366" w14:textId="7C415E11" w:rsidR="001356D4" w:rsidRDefault="001356D4" w:rsidP="000E72F4">
      <w:pPr>
        <w:spacing w:after="0" w:line="240" w:lineRule="auto"/>
        <w:jc w:val="both"/>
        <w:rPr>
          <w:b/>
        </w:rPr>
      </w:pPr>
    </w:p>
    <w:p w14:paraId="6DF90491" w14:textId="17B57804" w:rsidR="001356D4" w:rsidRDefault="001356D4" w:rsidP="000E72F4">
      <w:pPr>
        <w:spacing w:after="0" w:line="240" w:lineRule="auto"/>
        <w:jc w:val="both"/>
        <w:rPr>
          <w:b/>
        </w:rPr>
        <w:sectPr w:rsidR="001356D4" w:rsidSect="00003E0C">
          <w:pgSz w:w="11906" w:h="16838"/>
          <w:pgMar w:top="539" w:right="1440" w:bottom="964" w:left="1440" w:header="709" w:footer="374" w:gutter="0"/>
          <w:cols w:space="708"/>
          <w:docGrid w:linePitch="360"/>
        </w:sectPr>
      </w:pPr>
    </w:p>
    <w:tbl>
      <w:tblPr>
        <w:tblStyle w:val="TableGrid"/>
        <w:tblpPr w:leftFromText="180" w:rightFromText="180" w:vertAnchor="page" w:horzAnchor="page" w:tblpX="910" w:tblpY="2705"/>
        <w:tblW w:w="14737" w:type="dxa"/>
        <w:tblLook w:val="04A0" w:firstRow="1" w:lastRow="0" w:firstColumn="1" w:lastColumn="0" w:noHBand="0" w:noVBand="1"/>
      </w:tblPr>
      <w:tblGrid>
        <w:gridCol w:w="2122"/>
        <w:gridCol w:w="1134"/>
        <w:gridCol w:w="4677"/>
        <w:gridCol w:w="4536"/>
        <w:gridCol w:w="2268"/>
      </w:tblGrid>
      <w:tr w:rsidR="00272D69" w:rsidRPr="00493F69" w14:paraId="2F07C4B3" w14:textId="77777777" w:rsidTr="00272D69">
        <w:trPr>
          <w:trHeight w:val="516"/>
        </w:trPr>
        <w:tc>
          <w:tcPr>
            <w:tcW w:w="2122" w:type="dxa"/>
            <w:shd w:val="clear" w:color="auto" w:fill="0F243E" w:themeFill="text2" w:themeFillShade="80"/>
            <w:vAlign w:val="center"/>
          </w:tcPr>
          <w:p w14:paraId="5B5B6F55" w14:textId="77777777" w:rsidR="00272D69" w:rsidRPr="00493F69" w:rsidRDefault="00272D69" w:rsidP="00EA6041">
            <w:pPr>
              <w:jc w:val="center"/>
              <w:rPr>
                <w:b/>
              </w:rPr>
            </w:pPr>
            <w:r w:rsidRPr="00493F69">
              <w:rPr>
                <w:b/>
              </w:rPr>
              <w:lastRenderedPageBreak/>
              <w:t>Strategy</w:t>
            </w:r>
          </w:p>
        </w:tc>
        <w:tc>
          <w:tcPr>
            <w:tcW w:w="1134" w:type="dxa"/>
            <w:shd w:val="clear" w:color="auto" w:fill="0F243E" w:themeFill="text2" w:themeFillShade="80"/>
            <w:vAlign w:val="center"/>
          </w:tcPr>
          <w:p w14:paraId="5DCAEF90" w14:textId="77777777" w:rsidR="00272D69" w:rsidRPr="00493F69" w:rsidRDefault="00272D69" w:rsidP="00EA6041">
            <w:pPr>
              <w:jc w:val="center"/>
              <w:rPr>
                <w:b/>
              </w:rPr>
            </w:pPr>
            <w:r w:rsidRPr="00493F69">
              <w:rPr>
                <w:b/>
              </w:rPr>
              <w:t>Cost allocated</w:t>
            </w:r>
          </w:p>
        </w:tc>
        <w:tc>
          <w:tcPr>
            <w:tcW w:w="4677" w:type="dxa"/>
            <w:shd w:val="clear" w:color="auto" w:fill="0F243E" w:themeFill="text2" w:themeFillShade="80"/>
            <w:vAlign w:val="center"/>
          </w:tcPr>
          <w:p w14:paraId="4D553F6D" w14:textId="77777777" w:rsidR="00272D69" w:rsidRPr="00493F69" w:rsidRDefault="00272D69" w:rsidP="00EA6041">
            <w:pPr>
              <w:jc w:val="center"/>
              <w:rPr>
                <w:b/>
              </w:rPr>
            </w:pPr>
            <w:r w:rsidRPr="00493F69">
              <w:rPr>
                <w:b/>
              </w:rPr>
              <w:t>Summary of intervention</w:t>
            </w:r>
          </w:p>
        </w:tc>
        <w:tc>
          <w:tcPr>
            <w:tcW w:w="4536" w:type="dxa"/>
            <w:shd w:val="clear" w:color="auto" w:fill="0F243E" w:themeFill="text2" w:themeFillShade="80"/>
            <w:vAlign w:val="center"/>
          </w:tcPr>
          <w:p w14:paraId="5A6F29D0" w14:textId="77777777" w:rsidR="00272D69" w:rsidRPr="00493F69" w:rsidRDefault="00272D69" w:rsidP="00EA6041">
            <w:pPr>
              <w:jc w:val="center"/>
              <w:rPr>
                <w:b/>
              </w:rPr>
            </w:pPr>
            <w:r w:rsidRPr="00493F69">
              <w:rPr>
                <w:b/>
              </w:rPr>
              <w:t>Proposed impact</w:t>
            </w:r>
          </w:p>
        </w:tc>
        <w:tc>
          <w:tcPr>
            <w:tcW w:w="2268" w:type="dxa"/>
            <w:shd w:val="clear" w:color="auto" w:fill="0F243E" w:themeFill="text2" w:themeFillShade="80"/>
            <w:vAlign w:val="center"/>
          </w:tcPr>
          <w:p w14:paraId="75A3FC02" w14:textId="77777777" w:rsidR="00272D69" w:rsidRPr="00493F69" w:rsidRDefault="00272D69" w:rsidP="00EA6041">
            <w:pPr>
              <w:jc w:val="center"/>
              <w:rPr>
                <w:b/>
              </w:rPr>
            </w:pPr>
            <w:r w:rsidRPr="00493F69">
              <w:rPr>
                <w:b/>
              </w:rPr>
              <w:t>Measured impact</w:t>
            </w:r>
          </w:p>
        </w:tc>
      </w:tr>
      <w:tr w:rsidR="00272D69" w:rsidRPr="00493F69" w14:paraId="1708AE32" w14:textId="77777777" w:rsidTr="00272D69">
        <w:trPr>
          <w:trHeight w:val="1564"/>
        </w:trPr>
        <w:tc>
          <w:tcPr>
            <w:tcW w:w="2122" w:type="dxa"/>
          </w:tcPr>
          <w:p w14:paraId="5811D720" w14:textId="77777777" w:rsidR="00272D69" w:rsidRPr="00493F69" w:rsidRDefault="00272D69" w:rsidP="00EA6041">
            <w:r w:rsidRPr="00493F69">
              <w:t xml:space="preserve">Additional release time – 1 day per week </w:t>
            </w:r>
          </w:p>
        </w:tc>
        <w:tc>
          <w:tcPr>
            <w:tcW w:w="1134" w:type="dxa"/>
          </w:tcPr>
          <w:p w14:paraId="3F76C722" w14:textId="77777777" w:rsidR="00272D69" w:rsidRPr="00493F69" w:rsidRDefault="00272D69" w:rsidP="00EA6041">
            <w:r w:rsidRPr="00493F69">
              <w:t>£6,000</w:t>
            </w:r>
          </w:p>
        </w:tc>
        <w:tc>
          <w:tcPr>
            <w:tcW w:w="4677" w:type="dxa"/>
          </w:tcPr>
          <w:p w14:paraId="4AC23B64" w14:textId="77777777" w:rsidR="00272D69" w:rsidRPr="00493F69" w:rsidRDefault="00272D69" w:rsidP="00EA6041">
            <w:r w:rsidRPr="00493F69">
              <w:t>Designated non-contact time for both teachers  to run maths and literacy interventions, and support other teaching staff.</w:t>
            </w:r>
          </w:p>
        </w:tc>
        <w:tc>
          <w:tcPr>
            <w:tcW w:w="4536" w:type="dxa"/>
          </w:tcPr>
          <w:p w14:paraId="186D5594" w14:textId="77777777" w:rsidR="00272D69" w:rsidRPr="00493F69" w:rsidRDefault="00272D69" w:rsidP="00EA6041">
            <w:r w:rsidRPr="00493F69">
              <w:t>Improved outcomes for individuals and groups in receipt of PP</w:t>
            </w:r>
          </w:p>
          <w:p w14:paraId="3578D7F9" w14:textId="77777777" w:rsidR="00272D69" w:rsidRPr="00493F69" w:rsidRDefault="00272D69" w:rsidP="00EA6041">
            <w:r w:rsidRPr="00493F69">
              <w:t>PP pupils make accelerated progress</w:t>
            </w:r>
          </w:p>
          <w:p w14:paraId="780230B0" w14:textId="77777777" w:rsidR="00272D69" w:rsidRPr="00493F69" w:rsidRDefault="00272D69" w:rsidP="00EA6041"/>
          <w:p w14:paraId="0712C9DA" w14:textId="77777777" w:rsidR="00272D69" w:rsidRPr="00493F69" w:rsidRDefault="00272D69" w:rsidP="00EA6041"/>
        </w:tc>
        <w:tc>
          <w:tcPr>
            <w:tcW w:w="2268" w:type="dxa"/>
          </w:tcPr>
          <w:p w14:paraId="76D651AF" w14:textId="77777777" w:rsidR="00272D69" w:rsidRPr="00493F69" w:rsidRDefault="00272D69" w:rsidP="00EA6041"/>
        </w:tc>
      </w:tr>
      <w:tr w:rsidR="00272D69" w:rsidRPr="00493F69" w14:paraId="15100009" w14:textId="77777777" w:rsidTr="00272D69">
        <w:trPr>
          <w:trHeight w:val="1022"/>
        </w:trPr>
        <w:tc>
          <w:tcPr>
            <w:tcW w:w="2122" w:type="dxa"/>
          </w:tcPr>
          <w:p w14:paraId="430F8550" w14:textId="77777777" w:rsidR="00272D69" w:rsidRPr="00493F69" w:rsidRDefault="00272D69" w:rsidP="00EA6041">
            <w:pPr>
              <w:rPr>
                <w:rFonts w:eastAsia="Times New Roman" w:cs="Times New Roman"/>
              </w:rPr>
            </w:pPr>
            <w:r w:rsidRPr="00493F69">
              <w:rPr>
                <w:rFonts w:eastAsia="Times New Roman" w:cs="Times New Roman"/>
              </w:rPr>
              <w:t>Additional Teaching Assistant time to provide small group interventions and 1:1 tuition – part funded</w:t>
            </w:r>
          </w:p>
          <w:p w14:paraId="457A1D09" w14:textId="77777777" w:rsidR="00272D69" w:rsidRPr="00493F69" w:rsidRDefault="00272D69" w:rsidP="00EA6041"/>
        </w:tc>
        <w:tc>
          <w:tcPr>
            <w:tcW w:w="1134" w:type="dxa"/>
          </w:tcPr>
          <w:p w14:paraId="78B8CD57" w14:textId="77777777" w:rsidR="00272D69" w:rsidRPr="00493F69" w:rsidRDefault="00272D69" w:rsidP="00EA6041">
            <w:pPr>
              <w:rPr>
                <w:rFonts w:eastAsia="Times New Roman" w:cs="Times New Roman"/>
              </w:rPr>
            </w:pPr>
            <w:r w:rsidRPr="00493F69">
              <w:rPr>
                <w:rFonts w:eastAsia="Times New Roman" w:cs="Times New Roman"/>
              </w:rPr>
              <w:t>£11,500</w:t>
            </w:r>
          </w:p>
          <w:p w14:paraId="64AA7219" w14:textId="77777777" w:rsidR="00272D69" w:rsidRPr="00493F69" w:rsidRDefault="00272D69" w:rsidP="00EA6041"/>
        </w:tc>
        <w:tc>
          <w:tcPr>
            <w:tcW w:w="4677" w:type="dxa"/>
          </w:tcPr>
          <w:p w14:paraId="79E80DB5" w14:textId="77777777" w:rsidR="00272D69" w:rsidRPr="00493F69" w:rsidRDefault="00272D69" w:rsidP="00EA6041">
            <w:pPr>
              <w:rPr>
                <w:rFonts w:eastAsia="Times New Roman" w:cs="Times New Roman"/>
              </w:rPr>
            </w:pPr>
            <w:r w:rsidRPr="00493F69">
              <w:rPr>
                <w:rFonts w:eastAsia="Times New Roman" w:cs="Times New Roman"/>
              </w:rPr>
              <w:t>Children to access personalised learning opportunities through increased adult support and small group work</w:t>
            </w:r>
          </w:p>
          <w:p w14:paraId="5662D6C8" w14:textId="77777777" w:rsidR="00272D69" w:rsidRPr="00493F69" w:rsidRDefault="00272D69" w:rsidP="00EA6041">
            <w:pPr>
              <w:rPr>
                <w:rFonts w:eastAsia="Times New Roman" w:cs="Times New Roman"/>
              </w:rPr>
            </w:pPr>
          </w:p>
          <w:p w14:paraId="28D6A494" w14:textId="77777777" w:rsidR="00272D69" w:rsidRPr="00493F69" w:rsidRDefault="00272D69" w:rsidP="00EA6041">
            <w:pPr>
              <w:rPr>
                <w:rFonts w:eastAsia="Times New Roman" w:cs="Times New Roman"/>
              </w:rPr>
            </w:pPr>
            <w:r w:rsidRPr="00493F69">
              <w:rPr>
                <w:rFonts w:eastAsia="Times New Roman" w:cs="Times New Roman"/>
              </w:rPr>
              <w:t>To provide specialist tuition and provision to support children’s wider development, with a key focus on PSED, CLL, Literacy and maths skills</w:t>
            </w:r>
          </w:p>
          <w:p w14:paraId="4D748726" w14:textId="77777777" w:rsidR="00272D69" w:rsidRPr="00493F69" w:rsidRDefault="00272D69" w:rsidP="00EA6041"/>
        </w:tc>
        <w:tc>
          <w:tcPr>
            <w:tcW w:w="4536" w:type="dxa"/>
          </w:tcPr>
          <w:p w14:paraId="0A719E4A" w14:textId="77777777" w:rsidR="00272D69" w:rsidRPr="00493F69" w:rsidRDefault="00272D69" w:rsidP="00EA6041">
            <w:pPr>
              <w:rPr>
                <w:rFonts w:eastAsia="Times New Roman" w:cs="Times New Roman"/>
              </w:rPr>
            </w:pPr>
            <w:r w:rsidRPr="00493F69">
              <w:rPr>
                <w:rFonts w:eastAsia="Times New Roman" w:cs="Times New Roman"/>
              </w:rPr>
              <w:t>All staff trained to deliver individual programmes as well as in class support to enable pupils make good or better progress in all core subjects.</w:t>
            </w:r>
          </w:p>
          <w:p w14:paraId="43D23C6C" w14:textId="77777777" w:rsidR="00272D69" w:rsidRPr="00493F69" w:rsidRDefault="00272D69" w:rsidP="00EA6041">
            <w:pPr>
              <w:rPr>
                <w:rFonts w:eastAsia="Times New Roman" w:cs="Times New Roman"/>
              </w:rPr>
            </w:pPr>
          </w:p>
          <w:p w14:paraId="7364D645" w14:textId="77777777" w:rsidR="00272D69" w:rsidRPr="00493F69" w:rsidRDefault="00272D69" w:rsidP="00EA6041">
            <w:pPr>
              <w:rPr>
                <w:rFonts w:eastAsia="Times New Roman" w:cs="Times New Roman"/>
              </w:rPr>
            </w:pPr>
            <w:r w:rsidRPr="00493F69">
              <w:rPr>
                <w:rFonts w:eastAsia="Times New Roman" w:cs="Times New Roman"/>
              </w:rPr>
              <w:t>Children make accelerated progress and reach their potential through personalised tuition and support</w:t>
            </w:r>
          </w:p>
          <w:p w14:paraId="7E7D0980" w14:textId="77777777" w:rsidR="00272D69" w:rsidRPr="00493F69" w:rsidRDefault="00272D69" w:rsidP="00EA6041"/>
        </w:tc>
        <w:tc>
          <w:tcPr>
            <w:tcW w:w="2268" w:type="dxa"/>
          </w:tcPr>
          <w:p w14:paraId="1DE27E32" w14:textId="77777777" w:rsidR="00272D69" w:rsidRPr="00493F69" w:rsidRDefault="00272D69" w:rsidP="00EA6041"/>
        </w:tc>
      </w:tr>
      <w:tr w:rsidR="00272D69" w:rsidRPr="00493F69" w14:paraId="5CCD2B23" w14:textId="77777777" w:rsidTr="00272D69">
        <w:trPr>
          <w:trHeight w:val="1022"/>
        </w:trPr>
        <w:tc>
          <w:tcPr>
            <w:tcW w:w="2122" w:type="dxa"/>
          </w:tcPr>
          <w:p w14:paraId="21DE11C5" w14:textId="77777777" w:rsidR="00272D69" w:rsidRPr="00493F69" w:rsidRDefault="00272D69" w:rsidP="00EA6041">
            <w:r w:rsidRPr="00493F69">
              <w:t>Support staff training and time, part-funded</w:t>
            </w:r>
          </w:p>
        </w:tc>
        <w:tc>
          <w:tcPr>
            <w:tcW w:w="1134" w:type="dxa"/>
          </w:tcPr>
          <w:p w14:paraId="5F5C6464" w14:textId="77777777" w:rsidR="00272D69" w:rsidRPr="00493F69" w:rsidRDefault="00272D69" w:rsidP="00EA6041">
            <w:r w:rsidRPr="00493F69">
              <w:t>£ 5,500</w:t>
            </w:r>
          </w:p>
        </w:tc>
        <w:tc>
          <w:tcPr>
            <w:tcW w:w="4677" w:type="dxa"/>
          </w:tcPr>
          <w:p w14:paraId="76844883" w14:textId="77777777" w:rsidR="00272D69" w:rsidRPr="00493F69" w:rsidRDefault="00272D69" w:rsidP="00EA6041">
            <w:r w:rsidRPr="00493F69">
              <w:t>Training and monitoring for teaching assistants to provide precision support in class and/or tutoring; strong focus on communication</w:t>
            </w:r>
          </w:p>
        </w:tc>
        <w:tc>
          <w:tcPr>
            <w:tcW w:w="4536" w:type="dxa"/>
          </w:tcPr>
          <w:p w14:paraId="4BDEB0EA" w14:textId="77777777" w:rsidR="00272D69" w:rsidRPr="00493F69" w:rsidRDefault="00272D69" w:rsidP="00EA6041">
            <w:r w:rsidRPr="00493F69">
              <w:t>Pupils can access personalised learning opportunities through increased adult support</w:t>
            </w:r>
          </w:p>
          <w:p w14:paraId="3935ED6E" w14:textId="77777777" w:rsidR="00272D69" w:rsidRPr="00493F69" w:rsidRDefault="00272D69" w:rsidP="00EA6041">
            <w:r w:rsidRPr="00493F69">
              <w:t>Children can articulate their learning and development needs</w:t>
            </w:r>
          </w:p>
        </w:tc>
        <w:tc>
          <w:tcPr>
            <w:tcW w:w="2268" w:type="dxa"/>
          </w:tcPr>
          <w:p w14:paraId="64E2686E" w14:textId="77777777" w:rsidR="00272D69" w:rsidRPr="00493F69" w:rsidRDefault="00272D69" w:rsidP="00EA6041"/>
        </w:tc>
      </w:tr>
      <w:tr w:rsidR="00272D69" w:rsidRPr="00493F69" w14:paraId="50001CC2" w14:textId="77777777" w:rsidTr="00272D69">
        <w:trPr>
          <w:trHeight w:val="1022"/>
        </w:trPr>
        <w:tc>
          <w:tcPr>
            <w:tcW w:w="2122" w:type="dxa"/>
          </w:tcPr>
          <w:p w14:paraId="45FCBC20" w14:textId="77777777" w:rsidR="00272D69" w:rsidRPr="00493F69" w:rsidRDefault="00272D69" w:rsidP="00EA6041">
            <w:r w:rsidRPr="00493F69">
              <w:t xml:space="preserve">External providers </w:t>
            </w:r>
            <w:proofErr w:type="spellStart"/>
            <w:r w:rsidRPr="00493F69">
              <w:t>ro</w:t>
            </w:r>
            <w:proofErr w:type="spellEnd"/>
            <w:r w:rsidRPr="00493F69">
              <w:t xml:space="preserve"> run small group activities </w:t>
            </w:r>
            <w:proofErr w:type="spellStart"/>
            <w:r w:rsidRPr="00493F69">
              <w:t>e,g</w:t>
            </w:r>
            <w:proofErr w:type="spellEnd"/>
            <w:r w:rsidRPr="00493F69">
              <w:t>, gardening club</w:t>
            </w:r>
          </w:p>
        </w:tc>
        <w:tc>
          <w:tcPr>
            <w:tcW w:w="1134" w:type="dxa"/>
          </w:tcPr>
          <w:p w14:paraId="0BC9EC5F" w14:textId="77777777" w:rsidR="00272D69" w:rsidRPr="00493F69" w:rsidRDefault="00272D69" w:rsidP="00EA6041">
            <w:r w:rsidRPr="00493F69">
              <w:t>£2,500</w:t>
            </w:r>
          </w:p>
        </w:tc>
        <w:tc>
          <w:tcPr>
            <w:tcW w:w="4677" w:type="dxa"/>
          </w:tcPr>
          <w:p w14:paraId="5C7DBCB2" w14:textId="77777777" w:rsidR="00272D69" w:rsidRPr="00493F69" w:rsidRDefault="00272D69" w:rsidP="00EA6041">
            <w:r w:rsidRPr="00493F69">
              <w:t xml:space="preserve">Small group sessions to facilitate enhanced learning opportunities  in the prime areas of CLL and PSED  </w:t>
            </w:r>
          </w:p>
        </w:tc>
        <w:tc>
          <w:tcPr>
            <w:tcW w:w="4536" w:type="dxa"/>
          </w:tcPr>
          <w:p w14:paraId="5EBCDDBE" w14:textId="77777777" w:rsidR="00272D69" w:rsidRPr="00493F69" w:rsidRDefault="00272D69" w:rsidP="00EA6041">
            <w:r w:rsidRPr="00493F69">
              <w:t>Pupils make accelerated progress in the prime areas arising from baseline data</w:t>
            </w:r>
          </w:p>
        </w:tc>
        <w:tc>
          <w:tcPr>
            <w:tcW w:w="2268" w:type="dxa"/>
          </w:tcPr>
          <w:p w14:paraId="0E939D24" w14:textId="77777777" w:rsidR="00272D69" w:rsidRPr="00493F69" w:rsidRDefault="00272D69" w:rsidP="00EA6041"/>
        </w:tc>
      </w:tr>
      <w:tr w:rsidR="00272D69" w:rsidRPr="00493F69" w14:paraId="68B28519" w14:textId="77777777" w:rsidTr="00272D69">
        <w:trPr>
          <w:trHeight w:val="1022"/>
        </w:trPr>
        <w:tc>
          <w:tcPr>
            <w:tcW w:w="2122" w:type="dxa"/>
          </w:tcPr>
          <w:p w14:paraId="2F5C1E89" w14:textId="77777777" w:rsidR="00272D69" w:rsidRPr="00493F69" w:rsidRDefault="00272D69" w:rsidP="00EA6041">
            <w:r w:rsidRPr="00493F69">
              <w:t>Learning resources</w:t>
            </w:r>
          </w:p>
        </w:tc>
        <w:tc>
          <w:tcPr>
            <w:tcW w:w="1134" w:type="dxa"/>
          </w:tcPr>
          <w:p w14:paraId="7C0C425C" w14:textId="77777777" w:rsidR="00272D69" w:rsidRPr="00493F69" w:rsidRDefault="00272D69" w:rsidP="00EA6041">
            <w:r w:rsidRPr="00493F69">
              <w:t>£3,000</w:t>
            </w:r>
          </w:p>
        </w:tc>
        <w:tc>
          <w:tcPr>
            <w:tcW w:w="4677" w:type="dxa"/>
          </w:tcPr>
          <w:p w14:paraId="7D5AC665" w14:textId="77777777" w:rsidR="00272D69" w:rsidRPr="00493F69" w:rsidRDefault="00272D69" w:rsidP="00EA6041">
            <w:r w:rsidRPr="00493F69">
              <w:t>Purchase of additional resources/ICT based on diagnosis of pupil need</w:t>
            </w:r>
          </w:p>
        </w:tc>
        <w:tc>
          <w:tcPr>
            <w:tcW w:w="4536" w:type="dxa"/>
          </w:tcPr>
          <w:p w14:paraId="1E79FE04" w14:textId="77777777" w:rsidR="00272D69" w:rsidRPr="00493F69" w:rsidRDefault="00272D69" w:rsidP="00EA6041">
            <w:r w:rsidRPr="00493F69">
              <w:t>Pupils can access personalised learning opportunities through targeted use of resources</w:t>
            </w:r>
          </w:p>
        </w:tc>
        <w:tc>
          <w:tcPr>
            <w:tcW w:w="2268" w:type="dxa"/>
          </w:tcPr>
          <w:p w14:paraId="49129387" w14:textId="77777777" w:rsidR="00272D69" w:rsidRPr="00493F69" w:rsidRDefault="00272D69" w:rsidP="00EA6041"/>
        </w:tc>
      </w:tr>
      <w:tr w:rsidR="00272D69" w:rsidRPr="00493F69" w14:paraId="38572A7D" w14:textId="77777777" w:rsidTr="00272D69">
        <w:trPr>
          <w:trHeight w:val="1022"/>
        </w:trPr>
        <w:tc>
          <w:tcPr>
            <w:tcW w:w="2122" w:type="dxa"/>
          </w:tcPr>
          <w:p w14:paraId="23A8EEDE" w14:textId="77777777" w:rsidR="00272D69" w:rsidRPr="00493F69" w:rsidRDefault="00272D69" w:rsidP="00EA6041">
            <w:r w:rsidRPr="00493F69">
              <w:lastRenderedPageBreak/>
              <w:t>Support with uniform and equipment costs</w:t>
            </w:r>
          </w:p>
        </w:tc>
        <w:tc>
          <w:tcPr>
            <w:tcW w:w="1134" w:type="dxa"/>
          </w:tcPr>
          <w:p w14:paraId="22E08BDF" w14:textId="77777777" w:rsidR="00272D69" w:rsidRPr="00493F69" w:rsidRDefault="00272D69" w:rsidP="00EA6041">
            <w:r w:rsidRPr="00493F69">
              <w:t>£500</w:t>
            </w:r>
          </w:p>
        </w:tc>
        <w:tc>
          <w:tcPr>
            <w:tcW w:w="4677" w:type="dxa"/>
          </w:tcPr>
          <w:p w14:paraId="1B62BFF5" w14:textId="77777777" w:rsidR="00272D69" w:rsidRPr="00493F69" w:rsidRDefault="00272D69" w:rsidP="00EA6041">
            <w:r w:rsidRPr="00493F69">
              <w:t>WPP will pay 50% of the cost of uniform</w:t>
            </w:r>
          </w:p>
        </w:tc>
        <w:tc>
          <w:tcPr>
            <w:tcW w:w="4536" w:type="dxa"/>
          </w:tcPr>
          <w:p w14:paraId="366ADA98" w14:textId="77777777" w:rsidR="00272D69" w:rsidRPr="00493F69" w:rsidRDefault="00272D69" w:rsidP="00EA6041">
            <w:r w:rsidRPr="00493F69">
              <w:t>All pupils feel part of the school community</w:t>
            </w:r>
          </w:p>
          <w:p w14:paraId="3C50C2B9" w14:textId="77777777" w:rsidR="00272D69" w:rsidRPr="00493F69" w:rsidRDefault="00272D69" w:rsidP="00EA6041">
            <w:r w:rsidRPr="00493F69">
              <w:t>Pupils are happy, confident and have high levels of self esteem</w:t>
            </w:r>
          </w:p>
        </w:tc>
        <w:tc>
          <w:tcPr>
            <w:tcW w:w="2268" w:type="dxa"/>
          </w:tcPr>
          <w:p w14:paraId="014B1451" w14:textId="77777777" w:rsidR="00272D69" w:rsidRPr="00493F69" w:rsidRDefault="00272D69" w:rsidP="00EA6041"/>
        </w:tc>
      </w:tr>
      <w:tr w:rsidR="00272D69" w:rsidRPr="00493F69" w14:paraId="35A12CF9" w14:textId="77777777" w:rsidTr="00272D69">
        <w:trPr>
          <w:trHeight w:val="1022"/>
        </w:trPr>
        <w:tc>
          <w:tcPr>
            <w:tcW w:w="2122" w:type="dxa"/>
          </w:tcPr>
          <w:p w14:paraId="0305C6B2" w14:textId="77777777" w:rsidR="00272D69" w:rsidRPr="00493F69" w:rsidRDefault="00272D69" w:rsidP="00EA6041">
            <w:r w:rsidRPr="00493F69">
              <w:t>Subsidised Before/After School clubs and activities</w:t>
            </w:r>
          </w:p>
        </w:tc>
        <w:tc>
          <w:tcPr>
            <w:tcW w:w="1134" w:type="dxa"/>
          </w:tcPr>
          <w:p w14:paraId="0FA44BF8" w14:textId="77777777" w:rsidR="00272D69" w:rsidRPr="00493F69" w:rsidRDefault="00272D69" w:rsidP="00EA6041">
            <w:r w:rsidRPr="00493F69">
              <w:t>£1,700</w:t>
            </w:r>
          </w:p>
        </w:tc>
        <w:tc>
          <w:tcPr>
            <w:tcW w:w="4677" w:type="dxa"/>
          </w:tcPr>
          <w:p w14:paraId="2D033081" w14:textId="77777777" w:rsidR="00272D69" w:rsidRPr="00493F69" w:rsidRDefault="00272D69" w:rsidP="00EA6041">
            <w:r w:rsidRPr="00493F69">
              <w:t xml:space="preserve">WPP will pay 30% of the cost of Breakfast and After School clubs, and after care </w:t>
            </w:r>
          </w:p>
        </w:tc>
        <w:tc>
          <w:tcPr>
            <w:tcW w:w="4536" w:type="dxa"/>
          </w:tcPr>
          <w:p w14:paraId="6E689350" w14:textId="77777777" w:rsidR="00272D69" w:rsidRPr="00493F69" w:rsidRDefault="00272D69" w:rsidP="00EA6041">
            <w:r w:rsidRPr="00493F69">
              <w:t>Children can access a wide range of enrichment opportunities to broaden their experiences of life, culture and religion</w:t>
            </w:r>
          </w:p>
        </w:tc>
        <w:tc>
          <w:tcPr>
            <w:tcW w:w="2268" w:type="dxa"/>
          </w:tcPr>
          <w:p w14:paraId="3CE844B8" w14:textId="77777777" w:rsidR="00272D69" w:rsidRPr="00493F69" w:rsidRDefault="00272D69" w:rsidP="00EA6041"/>
        </w:tc>
      </w:tr>
      <w:tr w:rsidR="00272D69" w:rsidRPr="00493F69" w14:paraId="624CD266" w14:textId="77777777" w:rsidTr="00272D69">
        <w:trPr>
          <w:trHeight w:val="1023"/>
        </w:trPr>
        <w:tc>
          <w:tcPr>
            <w:tcW w:w="2122" w:type="dxa"/>
          </w:tcPr>
          <w:p w14:paraId="0347160A" w14:textId="77777777" w:rsidR="00272D69" w:rsidRPr="00493F69" w:rsidRDefault="00272D69" w:rsidP="00EA6041">
            <w:r w:rsidRPr="00493F69">
              <w:t>Attendance</w:t>
            </w:r>
          </w:p>
        </w:tc>
        <w:tc>
          <w:tcPr>
            <w:tcW w:w="1134" w:type="dxa"/>
          </w:tcPr>
          <w:p w14:paraId="59253F58" w14:textId="77777777" w:rsidR="00272D69" w:rsidRPr="00493F69" w:rsidRDefault="00272D69" w:rsidP="00EA6041"/>
        </w:tc>
        <w:tc>
          <w:tcPr>
            <w:tcW w:w="4677" w:type="dxa"/>
          </w:tcPr>
          <w:p w14:paraId="04FBF847" w14:textId="77777777" w:rsidR="00272D69" w:rsidRPr="00493F69" w:rsidRDefault="00272D69" w:rsidP="00EA6041">
            <w:r w:rsidRPr="00493F69">
              <w:t>First day absence reporting; follow up support implemented as necessary</w:t>
            </w:r>
          </w:p>
        </w:tc>
        <w:tc>
          <w:tcPr>
            <w:tcW w:w="4536" w:type="dxa"/>
          </w:tcPr>
          <w:p w14:paraId="51707616" w14:textId="77777777" w:rsidR="00272D69" w:rsidRPr="00493F69" w:rsidRDefault="00272D69" w:rsidP="00EA6041">
            <w:r w:rsidRPr="00493F69">
              <w:t>Children are in school, on time, every day and do not miss vital learning opportunities</w:t>
            </w:r>
          </w:p>
          <w:p w14:paraId="626F0FF8" w14:textId="77777777" w:rsidR="00272D69" w:rsidRPr="00493F69" w:rsidRDefault="00272D69" w:rsidP="00EA6041">
            <w:r w:rsidRPr="00493F69">
              <w:t>Families feel well supported in helping their child/</w:t>
            </w:r>
            <w:proofErr w:type="spellStart"/>
            <w:r w:rsidRPr="00493F69">
              <w:t>ren</w:t>
            </w:r>
            <w:proofErr w:type="spellEnd"/>
            <w:r w:rsidRPr="00493F69">
              <w:t xml:space="preserve"> to attain and progress</w:t>
            </w:r>
          </w:p>
        </w:tc>
        <w:tc>
          <w:tcPr>
            <w:tcW w:w="2268" w:type="dxa"/>
          </w:tcPr>
          <w:p w14:paraId="59C47F19" w14:textId="77777777" w:rsidR="00272D69" w:rsidRPr="00493F69" w:rsidRDefault="00272D69" w:rsidP="00EA6041"/>
        </w:tc>
      </w:tr>
      <w:tr w:rsidR="00272D69" w:rsidRPr="00493F69" w14:paraId="0BEE50A2" w14:textId="77777777" w:rsidTr="00272D69">
        <w:trPr>
          <w:trHeight w:val="706"/>
        </w:trPr>
        <w:tc>
          <w:tcPr>
            <w:tcW w:w="2122" w:type="dxa"/>
            <w:vAlign w:val="center"/>
          </w:tcPr>
          <w:p w14:paraId="3830779C" w14:textId="77777777" w:rsidR="00272D69" w:rsidRPr="00493F69" w:rsidRDefault="00272D69" w:rsidP="00EA6041">
            <w:pPr>
              <w:jc w:val="center"/>
              <w:rPr>
                <w:b/>
              </w:rPr>
            </w:pPr>
            <w:r w:rsidRPr="00493F69">
              <w:rPr>
                <w:b/>
              </w:rPr>
              <w:t>Total</w:t>
            </w:r>
          </w:p>
        </w:tc>
        <w:tc>
          <w:tcPr>
            <w:tcW w:w="1134" w:type="dxa"/>
            <w:vAlign w:val="center"/>
          </w:tcPr>
          <w:p w14:paraId="36696C5F" w14:textId="77777777" w:rsidR="00272D69" w:rsidRPr="00493F69" w:rsidRDefault="00272D69" w:rsidP="00EA6041">
            <w:pPr>
              <w:jc w:val="center"/>
              <w:rPr>
                <w:b/>
              </w:rPr>
            </w:pPr>
            <w:r w:rsidRPr="00493F69">
              <w:rPr>
                <w:b/>
              </w:rPr>
              <w:t>£30,700</w:t>
            </w:r>
          </w:p>
        </w:tc>
        <w:tc>
          <w:tcPr>
            <w:tcW w:w="4677" w:type="dxa"/>
            <w:vAlign w:val="center"/>
          </w:tcPr>
          <w:p w14:paraId="056F440B" w14:textId="77777777" w:rsidR="00272D69" w:rsidRPr="00493F69" w:rsidRDefault="00272D69" w:rsidP="00EA6041">
            <w:pPr>
              <w:jc w:val="center"/>
              <w:rPr>
                <w:b/>
              </w:rPr>
            </w:pPr>
          </w:p>
        </w:tc>
        <w:tc>
          <w:tcPr>
            <w:tcW w:w="4536" w:type="dxa"/>
            <w:vAlign w:val="center"/>
          </w:tcPr>
          <w:p w14:paraId="18921112" w14:textId="77777777" w:rsidR="00272D69" w:rsidRPr="00493F69" w:rsidRDefault="00272D69" w:rsidP="00EA6041">
            <w:pPr>
              <w:jc w:val="center"/>
              <w:rPr>
                <w:b/>
              </w:rPr>
            </w:pPr>
          </w:p>
        </w:tc>
        <w:tc>
          <w:tcPr>
            <w:tcW w:w="2268" w:type="dxa"/>
            <w:vAlign w:val="center"/>
          </w:tcPr>
          <w:p w14:paraId="36A5A66C" w14:textId="77777777" w:rsidR="00272D69" w:rsidRPr="00493F69" w:rsidRDefault="00272D69" w:rsidP="00EA6041">
            <w:pPr>
              <w:jc w:val="center"/>
            </w:pPr>
          </w:p>
        </w:tc>
      </w:tr>
    </w:tbl>
    <w:p w14:paraId="124F1E59" w14:textId="3B417D19" w:rsidR="00272D69" w:rsidRDefault="00272D69" w:rsidP="000E72F4">
      <w:pPr>
        <w:spacing w:after="0" w:line="240" w:lineRule="auto"/>
        <w:jc w:val="both"/>
        <w:rPr>
          <w:b/>
        </w:rPr>
      </w:pPr>
    </w:p>
    <w:p w14:paraId="796AE3F9" w14:textId="53DB15DC" w:rsidR="00272D69" w:rsidRDefault="00272D69" w:rsidP="000E72F4">
      <w:pPr>
        <w:spacing w:after="0" w:line="240" w:lineRule="auto"/>
        <w:jc w:val="both"/>
        <w:rPr>
          <w:b/>
        </w:rPr>
      </w:pPr>
    </w:p>
    <w:p w14:paraId="16E28293" w14:textId="3D56F05E" w:rsidR="00272D69" w:rsidRDefault="00272D69" w:rsidP="000E72F4">
      <w:pPr>
        <w:spacing w:after="0" w:line="240" w:lineRule="auto"/>
        <w:jc w:val="both"/>
        <w:rPr>
          <w:b/>
        </w:rPr>
      </w:pPr>
    </w:p>
    <w:p w14:paraId="4B502575" w14:textId="77777777" w:rsidR="00272D69" w:rsidRDefault="00272D69" w:rsidP="000E72F4">
      <w:pPr>
        <w:spacing w:after="0" w:line="240" w:lineRule="auto"/>
        <w:jc w:val="both"/>
        <w:rPr>
          <w:b/>
        </w:rPr>
      </w:pPr>
    </w:p>
    <w:p w14:paraId="2ABC5B77" w14:textId="77777777" w:rsidR="00272D69" w:rsidRDefault="00272D69" w:rsidP="00B11D5A">
      <w:pPr>
        <w:jc w:val="center"/>
        <w:rPr>
          <w:b/>
        </w:rPr>
        <w:sectPr w:rsidR="00272D69" w:rsidSect="00272D69">
          <w:pgSz w:w="16838" w:h="11906" w:orient="landscape"/>
          <w:pgMar w:top="1440" w:right="539" w:bottom="1440" w:left="964" w:header="709" w:footer="374" w:gutter="0"/>
          <w:cols w:space="708"/>
          <w:docGrid w:linePitch="360"/>
        </w:sectPr>
      </w:pPr>
    </w:p>
    <w:p w14:paraId="7E7E95F4" w14:textId="77777777" w:rsidR="00A819FA" w:rsidRDefault="00A819FA" w:rsidP="000E72F4">
      <w:pPr>
        <w:spacing w:after="0" w:line="240" w:lineRule="auto"/>
        <w:jc w:val="both"/>
        <w:rPr>
          <w:b/>
        </w:rPr>
      </w:pPr>
    </w:p>
    <w:p w14:paraId="0B2F3C49" w14:textId="5B5B7D8A" w:rsidR="00F60C0F" w:rsidRPr="003C79A5" w:rsidRDefault="003C79A5" w:rsidP="003C79A5">
      <w:pPr>
        <w:shd w:val="clear" w:color="auto" w:fill="244061" w:themeFill="accent1" w:themeFillShade="80"/>
        <w:spacing w:after="0" w:line="240" w:lineRule="auto"/>
        <w:rPr>
          <w:b/>
        </w:rPr>
      </w:pPr>
      <w:proofErr w:type="gramStart"/>
      <w:r w:rsidRPr="003C79A5">
        <w:rPr>
          <w:b/>
          <w:sz w:val="18"/>
        </w:rPr>
        <w:t>M</w:t>
      </w:r>
      <w:r w:rsidRPr="003C79A5">
        <w:rPr>
          <w:b/>
        </w:rPr>
        <w:t>easuring  I</w:t>
      </w:r>
      <w:r w:rsidR="00F60C0F" w:rsidRPr="003C79A5">
        <w:rPr>
          <w:b/>
        </w:rPr>
        <w:t>mpact</w:t>
      </w:r>
      <w:proofErr w:type="gramEnd"/>
    </w:p>
    <w:p w14:paraId="5FEBFB16" w14:textId="77777777" w:rsidR="003C79A5" w:rsidRDefault="003C79A5" w:rsidP="00F60C0F">
      <w:pPr>
        <w:spacing w:after="0" w:line="240" w:lineRule="auto"/>
        <w:rPr>
          <w:b/>
        </w:rPr>
      </w:pPr>
    </w:p>
    <w:p w14:paraId="2E287E62" w14:textId="77777777" w:rsidR="00F60C0F" w:rsidRPr="00691765" w:rsidRDefault="00F60C0F" w:rsidP="00F60C0F">
      <w:pPr>
        <w:pStyle w:val="ListParagraph"/>
        <w:numPr>
          <w:ilvl w:val="0"/>
          <w:numId w:val="29"/>
        </w:numPr>
        <w:shd w:val="clear" w:color="auto" w:fill="FFFFFF"/>
        <w:spacing w:after="135" w:line="240" w:lineRule="auto"/>
        <w:jc w:val="both"/>
        <w:textAlignment w:val="baseline"/>
        <w:rPr>
          <w:rFonts w:asciiTheme="minorHAnsi" w:eastAsia="Times New Roman" w:hAnsiTheme="minorHAnsi"/>
          <w:sz w:val="22"/>
          <w:lang w:eastAsia="en-GB"/>
        </w:rPr>
      </w:pPr>
      <w:r>
        <w:rPr>
          <w:rFonts w:asciiTheme="minorHAnsi" w:eastAsia="Times New Roman" w:hAnsiTheme="minorHAnsi"/>
          <w:sz w:val="22"/>
          <w:lang w:eastAsia="en-GB"/>
        </w:rPr>
        <w:t>Watling Park</w:t>
      </w:r>
      <w:r w:rsidRPr="00691765">
        <w:rPr>
          <w:rFonts w:asciiTheme="minorHAnsi" w:eastAsia="Times New Roman" w:hAnsiTheme="minorHAnsi"/>
          <w:sz w:val="22"/>
          <w:lang w:eastAsia="en-GB"/>
        </w:rPr>
        <w:t xml:space="preserve"> School Pupil Premium funding allocation and pupil results will be published annually on the school website. Anonymised case studies will be included in the reporting, as appropriate, to share details of good practice.</w:t>
      </w:r>
    </w:p>
    <w:p w14:paraId="62854DFA" w14:textId="77777777" w:rsidR="00F60C0F" w:rsidRPr="00691765" w:rsidRDefault="00F60C0F" w:rsidP="00F60C0F">
      <w:pPr>
        <w:pStyle w:val="ListParagraph"/>
        <w:numPr>
          <w:ilvl w:val="0"/>
          <w:numId w:val="29"/>
        </w:numPr>
        <w:shd w:val="clear" w:color="auto" w:fill="FFFFFF"/>
        <w:spacing w:after="135" w:line="240" w:lineRule="auto"/>
        <w:jc w:val="both"/>
        <w:textAlignment w:val="baseline"/>
        <w:rPr>
          <w:rFonts w:asciiTheme="minorHAnsi" w:eastAsia="Times New Roman" w:hAnsiTheme="minorHAnsi"/>
          <w:color w:val="404040"/>
          <w:sz w:val="22"/>
          <w:lang w:eastAsia="en-GB"/>
        </w:rPr>
      </w:pPr>
      <w:r w:rsidRPr="00691765">
        <w:rPr>
          <w:rFonts w:asciiTheme="minorHAnsi" w:eastAsia="Times New Roman" w:hAnsiTheme="minorHAnsi"/>
          <w:sz w:val="22"/>
          <w:lang w:eastAsia="en-GB"/>
        </w:rPr>
        <w:t>All pupils will be tracked using Classroom Monitor and ongoing assessments, to ensure pupil progress is at the forefront of our approach. Pupils entitled to the Premium will be closely tracked as individuals, and comparatively against their non-PP peers; evaluation of strategies will be conducted regularly to ensure adjustments can be made to secure maximum impact</w:t>
      </w:r>
      <w:r w:rsidRPr="00691765">
        <w:rPr>
          <w:rFonts w:asciiTheme="minorHAnsi" w:eastAsia="Times New Roman" w:hAnsiTheme="minorHAnsi"/>
          <w:color w:val="404040"/>
          <w:sz w:val="22"/>
          <w:lang w:eastAsia="en-GB"/>
        </w:rPr>
        <w:t xml:space="preserve">. </w:t>
      </w:r>
    </w:p>
    <w:p w14:paraId="2F0D663F" w14:textId="77777777" w:rsidR="00F60C0F" w:rsidRPr="00691765" w:rsidRDefault="00F60C0F" w:rsidP="00F60C0F">
      <w:pPr>
        <w:pStyle w:val="ListParagraph"/>
        <w:numPr>
          <w:ilvl w:val="0"/>
          <w:numId w:val="29"/>
        </w:numPr>
        <w:shd w:val="clear" w:color="auto" w:fill="FFFFFF"/>
        <w:spacing w:after="0" w:line="240" w:lineRule="auto"/>
        <w:jc w:val="both"/>
        <w:textAlignment w:val="baseline"/>
        <w:rPr>
          <w:rFonts w:asciiTheme="minorHAnsi" w:eastAsia="Times New Roman" w:hAnsiTheme="minorHAnsi"/>
          <w:sz w:val="22"/>
          <w:lang w:eastAsia="en-GB"/>
        </w:rPr>
      </w:pPr>
      <w:r w:rsidRPr="00691765">
        <w:rPr>
          <w:rFonts w:asciiTheme="minorHAnsi" w:eastAsia="Times New Roman" w:hAnsiTheme="minorHAnsi"/>
          <w:sz w:val="22"/>
          <w:lang w:eastAsia="en-GB"/>
        </w:rPr>
        <w:t xml:space="preserve">Reports on the attainment and progress of pupils will be presented </w:t>
      </w:r>
      <w:r>
        <w:rPr>
          <w:rFonts w:asciiTheme="minorHAnsi" w:eastAsia="Times New Roman" w:hAnsiTheme="minorHAnsi"/>
          <w:sz w:val="22"/>
          <w:lang w:eastAsia="en-GB"/>
        </w:rPr>
        <w:t>at local governing body meeting</w:t>
      </w:r>
      <w:r w:rsidRPr="00691765">
        <w:rPr>
          <w:rFonts w:asciiTheme="minorHAnsi" w:eastAsia="Times New Roman" w:hAnsiTheme="minorHAnsi"/>
          <w:sz w:val="22"/>
          <w:lang w:eastAsia="en-GB"/>
        </w:rPr>
        <w:t>. Reports will also be issued to the Bellevue Place Education Trust board every half term.</w:t>
      </w:r>
    </w:p>
    <w:p w14:paraId="00850C23" w14:textId="446C2EB0" w:rsidR="00F60C0F" w:rsidRPr="00272D69" w:rsidRDefault="00F60C0F" w:rsidP="00A819FA">
      <w:pPr>
        <w:pStyle w:val="ListParagraph"/>
        <w:numPr>
          <w:ilvl w:val="0"/>
          <w:numId w:val="29"/>
        </w:numPr>
        <w:spacing w:after="0" w:line="240" w:lineRule="auto"/>
        <w:jc w:val="both"/>
        <w:rPr>
          <w:rFonts w:asciiTheme="minorHAnsi" w:hAnsiTheme="minorHAnsi"/>
          <w:sz w:val="22"/>
        </w:rPr>
      </w:pPr>
      <w:r w:rsidRPr="00691765">
        <w:rPr>
          <w:rFonts w:asciiTheme="minorHAnsi" w:hAnsiTheme="minorHAnsi"/>
          <w:sz w:val="22"/>
        </w:rPr>
        <w:t>The performance management system of the school explicitly references the need to secure good or better attainment and progress for all children, and highlights a sharp focus on children entitled to PP, thus ensuring the staff team is highly proficient in identifying and modifying strategies for children in their care.</w:t>
      </w:r>
    </w:p>
    <w:p w14:paraId="621F4D1F" w14:textId="77777777" w:rsidR="00F31758" w:rsidRDefault="00F31758" w:rsidP="00F31758">
      <w:pPr>
        <w:spacing w:after="0" w:line="240" w:lineRule="auto"/>
        <w:jc w:val="both"/>
        <w:rPr>
          <w:b/>
        </w:rPr>
      </w:pPr>
    </w:p>
    <w:p w14:paraId="65DE8BBB" w14:textId="53D75626" w:rsidR="00F31758" w:rsidRPr="00272D69" w:rsidRDefault="00272D69" w:rsidP="00F31758">
      <w:pPr>
        <w:shd w:val="clear" w:color="auto" w:fill="244061" w:themeFill="accent1" w:themeFillShade="80"/>
        <w:spacing w:after="0" w:line="240" w:lineRule="auto"/>
        <w:rPr>
          <w:b/>
        </w:rPr>
      </w:pPr>
      <w:r>
        <w:rPr>
          <w:b/>
        </w:rPr>
        <w:t>Reporting</w:t>
      </w:r>
      <w:r w:rsidR="00F31758" w:rsidRPr="00272D69">
        <w:rPr>
          <w:b/>
        </w:rPr>
        <w:t xml:space="preserve"> Impact</w:t>
      </w:r>
    </w:p>
    <w:p w14:paraId="7A2A13DC" w14:textId="77777777" w:rsidR="00272D69" w:rsidRDefault="00272D69" w:rsidP="00272D69">
      <w:pPr>
        <w:pStyle w:val="NoSpacing"/>
        <w:rPr>
          <w:lang w:eastAsia="en-GB"/>
        </w:rPr>
      </w:pPr>
    </w:p>
    <w:p w14:paraId="0439AF83" w14:textId="2CD05245" w:rsidR="008D726B" w:rsidRPr="00272D69" w:rsidRDefault="003C7E77" w:rsidP="00272D69">
      <w:r w:rsidRPr="003C7E77">
        <w:rPr>
          <w:rFonts w:eastAsia="Times New Roman" w:cs="Helvetica"/>
          <w:lang w:eastAsia="en-GB"/>
        </w:rPr>
        <w:t>Progress and attainment of Pupil Premium funded children will be summarised as in the example</w:t>
      </w:r>
      <w:r w:rsidR="00B346BC">
        <w:rPr>
          <w:rFonts w:eastAsia="Times New Roman" w:cs="Helvetica"/>
          <w:lang w:eastAsia="en-GB"/>
        </w:rPr>
        <w:t xml:space="preserve">s </w:t>
      </w:r>
      <w:r w:rsidRPr="003C7E77">
        <w:rPr>
          <w:rFonts w:eastAsia="Times New Roman" w:cs="Helvetica"/>
          <w:lang w:eastAsia="en-GB"/>
        </w:rPr>
        <w:t xml:space="preserve">below with clear comparisons to </w:t>
      </w:r>
      <w:r w:rsidR="00B346BC">
        <w:rPr>
          <w:rFonts w:eastAsia="Times New Roman" w:cs="Helvetica"/>
          <w:lang w:eastAsia="en-GB"/>
        </w:rPr>
        <w:t xml:space="preserve">borough and </w:t>
      </w:r>
      <w:r w:rsidRPr="003C7E77">
        <w:rPr>
          <w:rFonts w:eastAsia="Times New Roman" w:cs="Helvetica"/>
          <w:lang w:eastAsia="en-GB"/>
        </w:rPr>
        <w:t>national figures</w:t>
      </w:r>
      <w:r w:rsidR="00B346BC">
        <w:rPr>
          <w:rFonts w:eastAsia="Times New Roman" w:cs="Helvetica"/>
          <w:lang w:eastAsia="en-GB"/>
        </w:rPr>
        <w:t>,</w:t>
      </w:r>
      <w:r w:rsidRPr="003C7E77">
        <w:rPr>
          <w:rFonts w:eastAsia="Times New Roman" w:cs="Helvetica"/>
          <w:lang w:eastAsia="en-GB"/>
        </w:rPr>
        <w:t xml:space="preserve"> and the school’s non Pupil Premium children.</w:t>
      </w:r>
      <w:r>
        <w:rPr>
          <w:rFonts w:eastAsia="Times New Roman" w:cs="Helvetica"/>
          <w:lang w:eastAsia="en-GB"/>
        </w:rPr>
        <w:t xml:space="preserve"> Both attainment and progress will be measured.  </w:t>
      </w:r>
    </w:p>
    <w:p w14:paraId="340EE4EB" w14:textId="77777777" w:rsidR="00B346BC" w:rsidRPr="008D726B" w:rsidRDefault="00B346BC" w:rsidP="008D726B">
      <w:pPr>
        <w:shd w:val="clear" w:color="auto" w:fill="FFFFFF"/>
        <w:tabs>
          <w:tab w:val="left" w:pos="3826"/>
        </w:tabs>
        <w:spacing w:after="0" w:line="240" w:lineRule="auto"/>
        <w:textAlignment w:val="baseline"/>
        <w:rPr>
          <w:rFonts w:eastAsia="Times New Roman" w:cs="Helvetica"/>
          <w:b/>
          <w:color w:val="00B050"/>
          <w:lang w:eastAsia="en-GB"/>
        </w:rPr>
      </w:pPr>
      <w:r w:rsidRPr="008D726B">
        <w:rPr>
          <w:rFonts w:eastAsia="Times New Roman" w:cs="Helvetica"/>
          <w:b/>
          <w:lang w:eastAsia="en-GB"/>
        </w:rPr>
        <w:t>EYFS</w:t>
      </w:r>
      <w:r w:rsidR="008D726B">
        <w:rPr>
          <w:rFonts w:eastAsia="Times New Roman" w:cs="Helvetica"/>
          <w:b/>
          <w:color w:val="00B050"/>
          <w:lang w:eastAsia="en-GB"/>
        </w:rPr>
        <w:tab/>
      </w:r>
    </w:p>
    <w:tbl>
      <w:tblPr>
        <w:tblStyle w:val="TableGrid"/>
        <w:tblW w:w="9016" w:type="dxa"/>
        <w:tblLook w:val="04A0" w:firstRow="1" w:lastRow="0" w:firstColumn="1" w:lastColumn="0" w:noHBand="0" w:noVBand="1"/>
      </w:tblPr>
      <w:tblGrid>
        <w:gridCol w:w="1883"/>
        <w:gridCol w:w="1766"/>
        <w:gridCol w:w="1679"/>
        <w:gridCol w:w="1824"/>
        <w:gridCol w:w="1864"/>
      </w:tblGrid>
      <w:tr w:rsidR="00A819FA" w:rsidRPr="008D726B" w14:paraId="2D5C4EAD" w14:textId="77777777" w:rsidTr="00F60C0F">
        <w:trPr>
          <w:trHeight w:val="495"/>
        </w:trPr>
        <w:tc>
          <w:tcPr>
            <w:tcW w:w="1883" w:type="dxa"/>
            <w:shd w:val="clear" w:color="auto" w:fill="auto"/>
            <w:vAlign w:val="center"/>
          </w:tcPr>
          <w:p w14:paraId="3A70EB48" w14:textId="77777777" w:rsidR="00A819FA" w:rsidRPr="008D726B" w:rsidRDefault="00A819FA" w:rsidP="00B346BC">
            <w:pPr>
              <w:textAlignment w:val="baseline"/>
              <w:rPr>
                <w:rFonts w:eastAsia="Times New Roman" w:cs="Helvetica"/>
                <w:b/>
                <w:lang w:eastAsia="en-GB"/>
              </w:rPr>
            </w:pPr>
          </w:p>
        </w:tc>
        <w:tc>
          <w:tcPr>
            <w:tcW w:w="1766" w:type="dxa"/>
            <w:shd w:val="clear" w:color="auto" w:fill="0F243E" w:themeFill="text2" w:themeFillShade="80"/>
            <w:vAlign w:val="center"/>
          </w:tcPr>
          <w:p w14:paraId="53E21CDC" w14:textId="77777777" w:rsidR="00203E67" w:rsidRDefault="00A819FA" w:rsidP="008D726B">
            <w:pPr>
              <w:jc w:val="center"/>
              <w:textAlignment w:val="baseline"/>
              <w:rPr>
                <w:rFonts w:eastAsia="Times New Roman" w:cs="Helvetica"/>
                <w:b/>
                <w:lang w:eastAsia="en-GB"/>
              </w:rPr>
            </w:pPr>
            <w:r>
              <w:rPr>
                <w:rFonts w:eastAsia="Times New Roman" w:cs="Helvetica"/>
                <w:b/>
                <w:lang w:eastAsia="en-GB"/>
              </w:rPr>
              <w:t>Baseline</w:t>
            </w:r>
          </w:p>
          <w:p w14:paraId="18FEEFD1" w14:textId="5AC5B9D6" w:rsidR="00A819FA" w:rsidRPr="008D726B" w:rsidRDefault="00A819FA" w:rsidP="008D726B">
            <w:pPr>
              <w:jc w:val="center"/>
              <w:textAlignment w:val="baseline"/>
              <w:rPr>
                <w:rFonts w:eastAsia="Times New Roman" w:cs="Helvetica"/>
                <w:b/>
                <w:lang w:eastAsia="en-GB"/>
              </w:rPr>
            </w:pPr>
            <w:r>
              <w:rPr>
                <w:rFonts w:eastAsia="Times New Roman" w:cs="Helvetica"/>
                <w:b/>
                <w:lang w:eastAsia="en-GB"/>
              </w:rPr>
              <w:t xml:space="preserve"> </w:t>
            </w:r>
            <w:r w:rsidR="00203E67">
              <w:rPr>
                <w:rFonts w:eastAsia="Times New Roman" w:cs="Helvetica"/>
                <w:b/>
                <w:lang w:eastAsia="en-GB"/>
              </w:rPr>
              <w:t>(At expected)</w:t>
            </w:r>
          </w:p>
        </w:tc>
        <w:tc>
          <w:tcPr>
            <w:tcW w:w="1679" w:type="dxa"/>
            <w:shd w:val="clear" w:color="auto" w:fill="0F243E" w:themeFill="text2" w:themeFillShade="80"/>
            <w:vAlign w:val="center"/>
          </w:tcPr>
          <w:p w14:paraId="00C7B66E" w14:textId="1A272960" w:rsidR="00A819FA" w:rsidRDefault="00A819FA" w:rsidP="008D726B">
            <w:pPr>
              <w:jc w:val="center"/>
              <w:textAlignment w:val="baseline"/>
              <w:rPr>
                <w:rFonts w:eastAsia="Times New Roman" w:cs="Helvetica"/>
                <w:b/>
                <w:lang w:eastAsia="en-GB"/>
              </w:rPr>
            </w:pPr>
            <w:r w:rsidRPr="008D726B">
              <w:rPr>
                <w:rFonts w:eastAsia="Times New Roman" w:cs="Helvetica"/>
                <w:b/>
                <w:lang w:eastAsia="en-GB"/>
              </w:rPr>
              <w:t>GLD</w:t>
            </w:r>
          </w:p>
        </w:tc>
        <w:tc>
          <w:tcPr>
            <w:tcW w:w="1824" w:type="dxa"/>
            <w:shd w:val="clear" w:color="auto" w:fill="0F243E" w:themeFill="text2" w:themeFillShade="80"/>
            <w:vAlign w:val="center"/>
          </w:tcPr>
          <w:p w14:paraId="0742E36B" w14:textId="573D9C21" w:rsidR="00A819FA" w:rsidRPr="008D726B" w:rsidRDefault="00A819FA" w:rsidP="008D726B">
            <w:pPr>
              <w:jc w:val="center"/>
              <w:textAlignment w:val="baseline"/>
              <w:rPr>
                <w:rFonts w:eastAsia="Times New Roman" w:cs="Helvetica"/>
                <w:b/>
                <w:lang w:eastAsia="en-GB"/>
              </w:rPr>
            </w:pPr>
            <w:r>
              <w:rPr>
                <w:rFonts w:eastAsia="Times New Roman" w:cs="Helvetica"/>
                <w:b/>
                <w:lang w:eastAsia="en-GB"/>
              </w:rPr>
              <w:t>Barnet</w:t>
            </w:r>
          </w:p>
        </w:tc>
        <w:tc>
          <w:tcPr>
            <w:tcW w:w="1864" w:type="dxa"/>
            <w:shd w:val="clear" w:color="auto" w:fill="0F243E" w:themeFill="text2" w:themeFillShade="80"/>
            <w:vAlign w:val="center"/>
          </w:tcPr>
          <w:p w14:paraId="2C1B4615" w14:textId="77777777" w:rsidR="00A819FA" w:rsidRPr="008D726B" w:rsidRDefault="00A819FA" w:rsidP="008D726B">
            <w:pPr>
              <w:jc w:val="center"/>
              <w:textAlignment w:val="baseline"/>
              <w:rPr>
                <w:rFonts w:eastAsia="Times New Roman" w:cs="Helvetica"/>
                <w:b/>
                <w:lang w:eastAsia="en-GB"/>
              </w:rPr>
            </w:pPr>
            <w:r w:rsidRPr="008D726B">
              <w:rPr>
                <w:rFonts w:eastAsia="Times New Roman" w:cs="Helvetica"/>
                <w:b/>
                <w:lang w:eastAsia="en-GB"/>
              </w:rPr>
              <w:t>National</w:t>
            </w:r>
          </w:p>
        </w:tc>
      </w:tr>
      <w:tr w:rsidR="00A819FA" w:rsidRPr="008D726B" w14:paraId="5FB4028D" w14:textId="77777777" w:rsidTr="00A819FA">
        <w:trPr>
          <w:trHeight w:val="495"/>
        </w:trPr>
        <w:tc>
          <w:tcPr>
            <w:tcW w:w="1883" w:type="dxa"/>
            <w:vAlign w:val="center"/>
          </w:tcPr>
          <w:p w14:paraId="4942FB6B" w14:textId="77777777" w:rsidR="00A819FA" w:rsidRPr="008D726B" w:rsidRDefault="00A819FA" w:rsidP="00B346BC">
            <w:pPr>
              <w:textAlignment w:val="baseline"/>
              <w:rPr>
                <w:rFonts w:eastAsia="Times New Roman" w:cs="Helvetica"/>
                <w:b/>
                <w:lang w:eastAsia="en-GB"/>
              </w:rPr>
            </w:pPr>
            <w:r w:rsidRPr="008D726B">
              <w:rPr>
                <w:rFonts w:eastAsia="Times New Roman" w:cs="Helvetica"/>
                <w:b/>
                <w:lang w:eastAsia="en-GB"/>
              </w:rPr>
              <w:t>ALL (number)</w:t>
            </w:r>
          </w:p>
        </w:tc>
        <w:tc>
          <w:tcPr>
            <w:tcW w:w="1766" w:type="dxa"/>
            <w:vAlign w:val="center"/>
          </w:tcPr>
          <w:p w14:paraId="29B41708" w14:textId="77777777" w:rsidR="00A819FA" w:rsidRPr="004F03E2" w:rsidRDefault="00A819FA" w:rsidP="008D726B">
            <w:pPr>
              <w:jc w:val="center"/>
              <w:textAlignment w:val="baseline"/>
              <w:rPr>
                <w:rFonts w:eastAsia="Times New Roman" w:cs="Helvetica"/>
                <w:lang w:eastAsia="en-GB"/>
              </w:rPr>
            </w:pPr>
            <w:r w:rsidRPr="004F03E2">
              <w:rPr>
                <w:rFonts w:eastAsia="Times New Roman" w:cs="Helvetica"/>
                <w:lang w:eastAsia="en-GB"/>
              </w:rPr>
              <w:t>%</w:t>
            </w:r>
          </w:p>
        </w:tc>
        <w:tc>
          <w:tcPr>
            <w:tcW w:w="1679" w:type="dxa"/>
            <w:vAlign w:val="center"/>
          </w:tcPr>
          <w:p w14:paraId="221430E8" w14:textId="6B6AF834" w:rsidR="00A819FA" w:rsidRPr="004F03E2" w:rsidRDefault="00A819FA" w:rsidP="008D726B">
            <w:pPr>
              <w:jc w:val="center"/>
              <w:textAlignment w:val="baseline"/>
              <w:rPr>
                <w:rFonts w:eastAsia="Times New Roman" w:cs="Helvetica"/>
                <w:lang w:eastAsia="en-GB"/>
              </w:rPr>
            </w:pPr>
            <w:r w:rsidRPr="004F03E2">
              <w:rPr>
                <w:rFonts w:eastAsia="Times New Roman" w:cs="Helvetica"/>
                <w:lang w:eastAsia="en-GB"/>
              </w:rPr>
              <w:t>%</w:t>
            </w:r>
          </w:p>
        </w:tc>
        <w:tc>
          <w:tcPr>
            <w:tcW w:w="1824" w:type="dxa"/>
            <w:vAlign w:val="center"/>
          </w:tcPr>
          <w:p w14:paraId="7CE45B9A" w14:textId="74E08B38" w:rsidR="00A819FA" w:rsidRPr="004F03E2" w:rsidRDefault="00A819FA" w:rsidP="008D726B">
            <w:pPr>
              <w:jc w:val="center"/>
              <w:textAlignment w:val="baseline"/>
              <w:rPr>
                <w:rFonts w:eastAsia="Times New Roman" w:cs="Helvetica"/>
                <w:lang w:eastAsia="en-GB"/>
              </w:rPr>
            </w:pPr>
            <w:r w:rsidRPr="004F03E2">
              <w:rPr>
                <w:rFonts w:eastAsia="Times New Roman" w:cs="Helvetica"/>
                <w:lang w:eastAsia="en-GB"/>
              </w:rPr>
              <w:t>%</w:t>
            </w:r>
          </w:p>
        </w:tc>
        <w:tc>
          <w:tcPr>
            <w:tcW w:w="1864" w:type="dxa"/>
            <w:vAlign w:val="center"/>
          </w:tcPr>
          <w:p w14:paraId="5F9B3102" w14:textId="77777777" w:rsidR="00A819FA" w:rsidRPr="004F03E2" w:rsidRDefault="00A819FA" w:rsidP="008D726B">
            <w:pPr>
              <w:jc w:val="center"/>
              <w:textAlignment w:val="baseline"/>
              <w:rPr>
                <w:rFonts w:eastAsia="Times New Roman" w:cs="Helvetica"/>
                <w:lang w:eastAsia="en-GB"/>
              </w:rPr>
            </w:pPr>
            <w:r w:rsidRPr="004F03E2">
              <w:rPr>
                <w:rFonts w:eastAsia="Times New Roman" w:cs="Helvetica"/>
                <w:lang w:eastAsia="en-GB"/>
              </w:rPr>
              <w:t>%</w:t>
            </w:r>
          </w:p>
        </w:tc>
      </w:tr>
      <w:tr w:rsidR="00A819FA" w:rsidRPr="008D726B" w14:paraId="0B45339C" w14:textId="77777777" w:rsidTr="00A819FA">
        <w:trPr>
          <w:trHeight w:val="495"/>
        </w:trPr>
        <w:tc>
          <w:tcPr>
            <w:tcW w:w="1883" w:type="dxa"/>
            <w:vAlign w:val="center"/>
          </w:tcPr>
          <w:p w14:paraId="17D2B97C" w14:textId="77777777" w:rsidR="00A819FA" w:rsidRPr="008D726B" w:rsidRDefault="00A819FA" w:rsidP="00B346BC">
            <w:pPr>
              <w:textAlignment w:val="baseline"/>
              <w:rPr>
                <w:rFonts w:eastAsia="Times New Roman" w:cs="Helvetica"/>
                <w:b/>
                <w:lang w:eastAsia="en-GB"/>
              </w:rPr>
            </w:pPr>
            <w:r w:rsidRPr="008D726B">
              <w:rPr>
                <w:rFonts w:eastAsia="Times New Roman" w:cs="Helvetica"/>
                <w:b/>
                <w:lang w:eastAsia="en-GB"/>
              </w:rPr>
              <w:t>PP (number)</w:t>
            </w:r>
          </w:p>
        </w:tc>
        <w:tc>
          <w:tcPr>
            <w:tcW w:w="1766" w:type="dxa"/>
            <w:vAlign w:val="center"/>
          </w:tcPr>
          <w:p w14:paraId="0A2290DC" w14:textId="77777777" w:rsidR="00A819FA" w:rsidRPr="004F03E2" w:rsidRDefault="00A819FA" w:rsidP="008D726B">
            <w:pPr>
              <w:jc w:val="center"/>
              <w:textAlignment w:val="baseline"/>
              <w:rPr>
                <w:rFonts w:eastAsia="Times New Roman" w:cs="Helvetica"/>
                <w:lang w:eastAsia="en-GB"/>
              </w:rPr>
            </w:pPr>
            <w:r w:rsidRPr="004F03E2">
              <w:rPr>
                <w:rFonts w:eastAsia="Times New Roman" w:cs="Helvetica"/>
                <w:lang w:eastAsia="en-GB"/>
              </w:rPr>
              <w:t>%</w:t>
            </w:r>
          </w:p>
        </w:tc>
        <w:tc>
          <w:tcPr>
            <w:tcW w:w="1679" w:type="dxa"/>
            <w:vAlign w:val="center"/>
          </w:tcPr>
          <w:p w14:paraId="01C76ECB" w14:textId="01C0C2CE" w:rsidR="00A819FA" w:rsidRPr="004F03E2" w:rsidRDefault="00A819FA" w:rsidP="008D726B">
            <w:pPr>
              <w:jc w:val="center"/>
              <w:textAlignment w:val="baseline"/>
              <w:rPr>
                <w:rFonts w:eastAsia="Times New Roman" w:cs="Helvetica"/>
                <w:lang w:eastAsia="en-GB"/>
              </w:rPr>
            </w:pPr>
            <w:r w:rsidRPr="004F03E2">
              <w:rPr>
                <w:rFonts w:eastAsia="Times New Roman" w:cs="Helvetica"/>
                <w:lang w:eastAsia="en-GB"/>
              </w:rPr>
              <w:t>%</w:t>
            </w:r>
          </w:p>
        </w:tc>
        <w:tc>
          <w:tcPr>
            <w:tcW w:w="1824" w:type="dxa"/>
            <w:vAlign w:val="center"/>
          </w:tcPr>
          <w:p w14:paraId="6B1BEDFC" w14:textId="5C77DCF4" w:rsidR="00A819FA" w:rsidRPr="004F03E2" w:rsidRDefault="00A819FA" w:rsidP="008D726B">
            <w:pPr>
              <w:jc w:val="center"/>
              <w:textAlignment w:val="baseline"/>
              <w:rPr>
                <w:rFonts w:eastAsia="Times New Roman" w:cs="Helvetica"/>
                <w:lang w:eastAsia="en-GB"/>
              </w:rPr>
            </w:pPr>
            <w:r w:rsidRPr="004F03E2">
              <w:rPr>
                <w:rFonts w:eastAsia="Times New Roman" w:cs="Helvetica"/>
                <w:lang w:eastAsia="en-GB"/>
              </w:rPr>
              <w:t>%</w:t>
            </w:r>
          </w:p>
        </w:tc>
        <w:tc>
          <w:tcPr>
            <w:tcW w:w="1864" w:type="dxa"/>
            <w:vAlign w:val="center"/>
          </w:tcPr>
          <w:p w14:paraId="2985C0E1" w14:textId="77777777" w:rsidR="00A819FA" w:rsidRPr="004F03E2" w:rsidRDefault="00A819FA" w:rsidP="008D726B">
            <w:pPr>
              <w:jc w:val="center"/>
              <w:textAlignment w:val="baseline"/>
              <w:rPr>
                <w:rFonts w:eastAsia="Times New Roman" w:cs="Helvetica"/>
                <w:lang w:eastAsia="en-GB"/>
              </w:rPr>
            </w:pPr>
            <w:r w:rsidRPr="004F03E2">
              <w:rPr>
                <w:rFonts w:eastAsia="Times New Roman" w:cs="Helvetica"/>
                <w:lang w:eastAsia="en-GB"/>
              </w:rPr>
              <w:t>%</w:t>
            </w:r>
          </w:p>
        </w:tc>
      </w:tr>
      <w:tr w:rsidR="00A819FA" w:rsidRPr="008D726B" w14:paraId="09870A57" w14:textId="77777777" w:rsidTr="00A819FA">
        <w:trPr>
          <w:trHeight w:val="453"/>
        </w:trPr>
        <w:tc>
          <w:tcPr>
            <w:tcW w:w="1883" w:type="dxa"/>
            <w:vAlign w:val="center"/>
          </w:tcPr>
          <w:p w14:paraId="78D9A02A" w14:textId="77777777" w:rsidR="00A819FA" w:rsidRPr="008D726B" w:rsidRDefault="00A819FA" w:rsidP="00B346BC">
            <w:pPr>
              <w:textAlignment w:val="baseline"/>
              <w:rPr>
                <w:rFonts w:eastAsia="Times New Roman" w:cs="Helvetica"/>
                <w:b/>
                <w:lang w:eastAsia="en-GB"/>
              </w:rPr>
            </w:pPr>
            <w:r w:rsidRPr="008D726B">
              <w:rPr>
                <w:rFonts w:eastAsia="Times New Roman" w:cs="Helvetica"/>
                <w:b/>
                <w:lang w:eastAsia="en-GB"/>
              </w:rPr>
              <w:t>Non PP (number)</w:t>
            </w:r>
          </w:p>
        </w:tc>
        <w:tc>
          <w:tcPr>
            <w:tcW w:w="1766" w:type="dxa"/>
            <w:vAlign w:val="center"/>
          </w:tcPr>
          <w:p w14:paraId="4FE269D0" w14:textId="77777777" w:rsidR="00A819FA" w:rsidRPr="004F03E2" w:rsidRDefault="00A819FA" w:rsidP="008D726B">
            <w:pPr>
              <w:jc w:val="center"/>
              <w:textAlignment w:val="baseline"/>
              <w:rPr>
                <w:rFonts w:eastAsia="Times New Roman" w:cs="Helvetica"/>
                <w:lang w:eastAsia="en-GB"/>
              </w:rPr>
            </w:pPr>
            <w:r w:rsidRPr="004F03E2">
              <w:rPr>
                <w:rFonts w:eastAsia="Times New Roman" w:cs="Helvetica"/>
                <w:lang w:eastAsia="en-GB"/>
              </w:rPr>
              <w:t>%</w:t>
            </w:r>
          </w:p>
        </w:tc>
        <w:tc>
          <w:tcPr>
            <w:tcW w:w="1679" w:type="dxa"/>
            <w:vAlign w:val="center"/>
          </w:tcPr>
          <w:p w14:paraId="139543DA" w14:textId="5AFDF921" w:rsidR="00A819FA" w:rsidRPr="004F03E2" w:rsidRDefault="00A819FA" w:rsidP="008D726B">
            <w:pPr>
              <w:jc w:val="center"/>
              <w:textAlignment w:val="baseline"/>
              <w:rPr>
                <w:rFonts w:eastAsia="Times New Roman" w:cs="Helvetica"/>
                <w:lang w:eastAsia="en-GB"/>
              </w:rPr>
            </w:pPr>
            <w:r w:rsidRPr="004F03E2">
              <w:rPr>
                <w:rFonts w:eastAsia="Times New Roman" w:cs="Helvetica"/>
                <w:lang w:eastAsia="en-GB"/>
              </w:rPr>
              <w:t>%</w:t>
            </w:r>
          </w:p>
        </w:tc>
        <w:tc>
          <w:tcPr>
            <w:tcW w:w="1824" w:type="dxa"/>
            <w:vAlign w:val="center"/>
          </w:tcPr>
          <w:p w14:paraId="3C022276" w14:textId="0EA10F7C" w:rsidR="00A819FA" w:rsidRPr="004F03E2" w:rsidRDefault="00A819FA" w:rsidP="008D726B">
            <w:pPr>
              <w:jc w:val="center"/>
              <w:textAlignment w:val="baseline"/>
              <w:rPr>
                <w:rFonts w:eastAsia="Times New Roman" w:cs="Helvetica"/>
                <w:lang w:eastAsia="en-GB"/>
              </w:rPr>
            </w:pPr>
            <w:r w:rsidRPr="004F03E2">
              <w:rPr>
                <w:rFonts w:eastAsia="Times New Roman" w:cs="Helvetica"/>
                <w:lang w:eastAsia="en-GB"/>
              </w:rPr>
              <w:t>%</w:t>
            </w:r>
          </w:p>
        </w:tc>
        <w:tc>
          <w:tcPr>
            <w:tcW w:w="1864" w:type="dxa"/>
            <w:vAlign w:val="center"/>
          </w:tcPr>
          <w:p w14:paraId="38F0D0CD" w14:textId="77777777" w:rsidR="00A819FA" w:rsidRPr="004F03E2" w:rsidRDefault="00A819FA" w:rsidP="008D726B">
            <w:pPr>
              <w:jc w:val="center"/>
              <w:textAlignment w:val="baseline"/>
              <w:rPr>
                <w:rFonts w:eastAsia="Times New Roman" w:cs="Helvetica"/>
                <w:lang w:eastAsia="en-GB"/>
              </w:rPr>
            </w:pPr>
            <w:r w:rsidRPr="004F03E2">
              <w:rPr>
                <w:rFonts w:eastAsia="Times New Roman" w:cs="Helvetica"/>
                <w:lang w:eastAsia="en-GB"/>
              </w:rPr>
              <w:t>%</w:t>
            </w:r>
          </w:p>
        </w:tc>
      </w:tr>
    </w:tbl>
    <w:p w14:paraId="1CA4521F" w14:textId="77777777" w:rsidR="00B346BC" w:rsidRPr="008D726B" w:rsidRDefault="00B346BC" w:rsidP="00B346BC">
      <w:pPr>
        <w:shd w:val="clear" w:color="auto" w:fill="FFFFFF"/>
        <w:spacing w:after="0" w:line="240" w:lineRule="auto"/>
        <w:textAlignment w:val="baseline"/>
        <w:rPr>
          <w:rFonts w:eastAsia="Times New Roman" w:cs="Helvetica"/>
          <w:lang w:eastAsia="en-GB"/>
        </w:rPr>
      </w:pPr>
    </w:p>
    <w:p w14:paraId="3FEA16DF" w14:textId="77777777" w:rsidR="00272D69" w:rsidRPr="00691765" w:rsidRDefault="00272D69" w:rsidP="00272D69">
      <w:pPr>
        <w:shd w:val="clear" w:color="auto" w:fill="FFFFFF"/>
        <w:spacing w:after="0" w:line="240" w:lineRule="auto"/>
        <w:textAlignment w:val="baseline"/>
      </w:pPr>
    </w:p>
    <w:p w14:paraId="70381F8D" w14:textId="77777777" w:rsidR="00F60C0F" w:rsidRPr="00691765" w:rsidRDefault="00F60C0F" w:rsidP="00F31758">
      <w:pPr>
        <w:shd w:val="clear" w:color="auto" w:fill="244061" w:themeFill="accent1" w:themeFillShade="80"/>
        <w:spacing w:after="0" w:line="240" w:lineRule="auto"/>
        <w:jc w:val="both"/>
        <w:rPr>
          <w:b/>
        </w:rPr>
      </w:pPr>
      <w:r w:rsidRPr="00691765">
        <w:rPr>
          <w:b/>
        </w:rPr>
        <w:t>Targets 2015-2016</w:t>
      </w:r>
    </w:p>
    <w:p w14:paraId="341F4AE0" w14:textId="77777777" w:rsidR="00F60C0F" w:rsidRPr="00691765" w:rsidRDefault="00F60C0F" w:rsidP="00F60C0F">
      <w:pPr>
        <w:pStyle w:val="ListParagraph"/>
        <w:numPr>
          <w:ilvl w:val="0"/>
          <w:numId w:val="25"/>
        </w:numPr>
        <w:spacing w:after="0" w:line="240" w:lineRule="auto"/>
        <w:jc w:val="both"/>
        <w:rPr>
          <w:rFonts w:asciiTheme="minorHAnsi" w:hAnsiTheme="minorHAnsi"/>
          <w:sz w:val="22"/>
        </w:rPr>
      </w:pPr>
      <w:r w:rsidRPr="00691765">
        <w:rPr>
          <w:rFonts w:asciiTheme="minorHAnsi" w:hAnsiTheme="minorHAnsi"/>
          <w:sz w:val="22"/>
        </w:rPr>
        <w:t xml:space="preserve">All children entitled to Pupil Premium support make at least expected progress during their Reception year </w:t>
      </w:r>
    </w:p>
    <w:p w14:paraId="599BFD1F" w14:textId="77777777" w:rsidR="00272D69" w:rsidRPr="00272D69" w:rsidRDefault="00F60C0F" w:rsidP="000A36F5">
      <w:pPr>
        <w:pStyle w:val="ListParagraph"/>
        <w:numPr>
          <w:ilvl w:val="0"/>
          <w:numId w:val="25"/>
        </w:numPr>
        <w:shd w:val="clear" w:color="auto" w:fill="FFFFFF"/>
        <w:spacing w:after="0" w:line="240" w:lineRule="auto"/>
        <w:jc w:val="both"/>
        <w:textAlignment w:val="baseline"/>
        <w:rPr>
          <w:rFonts w:eastAsia="Times New Roman"/>
          <w:b/>
          <w:bCs/>
          <w:iCs/>
          <w:lang w:eastAsia="en-GB"/>
        </w:rPr>
      </w:pPr>
      <w:r w:rsidRPr="00691765">
        <w:rPr>
          <w:rFonts w:asciiTheme="minorHAnsi" w:hAnsiTheme="minorHAnsi"/>
          <w:sz w:val="22"/>
        </w:rPr>
        <w:t>Little or no gap in progress between those children entitled to PP support and other children</w:t>
      </w:r>
    </w:p>
    <w:p w14:paraId="2EF06F41" w14:textId="77777777" w:rsidR="001356D4" w:rsidRDefault="001356D4" w:rsidP="00272D69">
      <w:pPr>
        <w:shd w:val="clear" w:color="auto" w:fill="FFFFFF"/>
        <w:spacing w:after="0" w:line="240" w:lineRule="auto"/>
        <w:jc w:val="both"/>
        <w:textAlignment w:val="baseline"/>
        <w:rPr>
          <w:rFonts w:eastAsia="Times New Roman"/>
          <w:b/>
          <w:bCs/>
          <w:color w:val="006600"/>
          <w:lang w:eastAsia="en-GB"/>
        </w:rPr>
      </w:pPr>
    </w:p>
    <w:p w14:paraId="793EF86D" w14:textId="2572B434" w:rsidR="00B346BC" w:rsidRDefault="00F930A3" w:rsidP="00B346BC">
      <w:pPr>
        <w:spacing w:after="0" w:line="240" w:lineRule="auto"/>
        <w:rPr>
          <w:b/>
        </w:rPr>
      </w:pPr>
      <w:r>
        <w:rPr>
          <w:b/>
        </w:rPr>
        <w:t>Reporting</w:t>
      </w:r>
      <w:r w:rsidR="00B346BC">
        <w:rPr>
          <w:b/>
        </w:rPr>
        <w:t xml:space="preserve"> impact</w:t>
      </w:r>
    </w:p>
    <w:p w14:paraId="7FCD6448" w14:textId="4D081DEF" w:rsidR="00A815F4" w:rsidRPr="00691765" w:rsidRDefault="00F60C0F" w:rsidP="00691765">
      <w:pPr>
        <w:pStyle w:val="ListParagraph"/>
        <w:numPr>
          <w:ilvl w:val="0"/>
          <w:numId w:val="29"/>
        </w:numPr>
        <w:shd w:val="clear" w:color="auto" w:fill="FFFFFF"/>
        <w:spacing w:after="135" w:line="240" w:lineRule="auto"/>
        <w:jc w:val="both"/>
        <w:textAlignment w:val="baseline"/>
        <w:rPr>
          <w:rFonts w:asciiTheme="minorHAnsi" w:eastAsia="Times New Roman" w:hAnsiTheme="minorHAnsi"/>
          <w:sz w:val="22"/>
          <w:lang w:eastAsia="en-GB"/>
        </w:rPr>
      </w:pPr>
      <w:r>
        <w:rPr>
          <w:rFonts w:asciiTheme="minorHAnsi" w:eastAsia="Times New Roman" w:hAnsiTheme="minorHAnsi"/>
          <w:sz w:val="22"/>
          <w:lang w:eastAsia="en-GB"/>
        </w:rPr>
        <w:t>Watling Park</w:t>
      </w:r>
      <w:r w:rsidR="00CA4499" w:rsidRPr="00691765">
        <w:rPr>
          <w:rFonts w:asciiTheme="minorHAnsi" w:eastAsia="Times New Roman" w:hAnsiTheme="minorHAnsi"/>
          <w:sz w:val="22"/>
          <w:lang w:eastAsia="en-GB"/>
        </w:rPr>
        <w:t xml:space="preserve"> </w:t>
      </w:r>
      <w:r w:rsidR="00B346BC" w:rsidRPr="00691765">
        <w:rPr>
          <w:rFonts w:asciiTheme="minorHAnsi" w:eastAsia="Times New Roman" w:hAnsiTheme="minorHAnsi"/>
          <w:sz w:val="22"/>
          <w:lang w:eastAsia="en-GB"/>
        </w:rPr>
        <w:t xml:space="preserve">School </w:t>
      </w:r>
      <w:r w:rsidR="00A815F4" w:rsidRPr="00691765">
        <w:rPr>
          <w:rFonts w:asciiTheme="minorHAnsi" w:eastAsia="Times New Roman" w:hAnsiTheme="minorHAnsi"/>
          <w:sz w:val="22"/>
          <w:lang w:eastAsia="en-GB"/>
        </w:rPr>
        <w:t xml:space="preserve">Pupil Premium </w:t>
      </w:r>
      <w:r w:rsidR="00CA4499" w:rsidRPr="00691765">
        <w:rPr>
          <w:rFonts w:asciiTheme="minorHAnsi" w:eastAsia="Times New Roman" w:hAnsiTheme="minorHAnsi"/>
          <w:sz w:val="22"/>
          <w:lang w:eastAsia="en-GB"/>
        </w:rPr>
        <w:t>funding allocation</w:t>
      </w:r>
      <w:r w:rsidR="00A815F4" w:rsidRPr="00691765">
        <w:rPr>
          <w:rFonts w:asciiTheme="minorHAnsi" w:eastAsia="Times New Roman" w:hAnsiTheme="minorHAnsi"/>
          <w:sz w:val="22"/>
          <w:lang w:eastAsia="en-GB"/>
        </w:rPr>
        <w:t xml:space="preserve"> and pupil r</w:t>
      </w:r>
      <w:r w:rsidR="00B346BC" w:rsidRPr="00691765">
        <w:rPr>
          <w:rFonts w:asciiTheme="minorHAnsi" w:eastAsia="Times New Roman" w:hAnsiTheme="minorHAnsi"/>
          <w:sz w:val="22"/>
          <w:lang w:eastAsia="en-GB"/>
        </w:rPr>
        <w:t xml:space="preserve">esults will be published </w:t>
      </w:r>
      <w:r w:rsidR="00CA4499" w:rsidRPr="00691765">
        <w:rPr>
          <w:rFonts w:asciiTheme="minorHAnsi" w:eastAsia="Times New Roman" w:hAnsiTheme="minorHAnsi"/>
          <w:sz w:val="22"/>
          <w:lang w:eastAsia="en-GB"/>
        </w:rPr>
        <w:t xml:space="preserve">annually </w:t>
      </w:r>
      <w:r w:rsidR="00B346BC" w:rsidRPr="00691765">
        <w:rPr>
          <w:rFonts w:asciiTheme="minorHAnsi" w:eastAsia="Times New Roman" w:hAnsiTheme="minorHAnsi"/>
          <w:sz w:val="22"/>
          <w:lang w:eastAsia="en-GB"/>
        </w:rPr>
        <w:t xml:space="preserve">on the </w:t>
      </w:r>
      <w:r w:rsidR="00CA4499" w:rsidRPr="00691765">
        <w:rPr>
          <w:rFonts w:asciiTheme="minorHAnsi" w:eastAsia="Times New Roman" w:hAnsiTheme="minorHAnsi"/>
          <w:sz w:val="22"/>
          <w:lang w:eastAsia="en-GB"/>
        </w:rPr>
        <w:t xml:space="preserve">school </w:t>
      </w:r>
      <w:r w:rsidR="00B346BC" w:rsidRPr="00691765">
        <w:rPr>
          <w:rFonts w:asciiTheme="minorHAnsi" w:eastAsia="Times New Roman" w:hAnsiTheme="minorHAnsi"/>
          <w:sz w:val="22"/>
          <w:lang w:eastAsia="en-GB"/>
        </w:rPr>
        <w:t>website.</w:t>
      </w:r>
      <w:r w:rsidR="00A815F4" w:rsidRPr="00691765">
        <w:rPr>
          <w:rFonts w:asciiTheme="minorHAnsi" w:eastAsia="Times New Roman" w:hAnsiTheme="minorHAnsi"/>
          <w:sz w:val="22"/>
          <w:lang w:eastAsia="en-GB"/>
        </w:rPr>
        <w:t xml:space="preserve"> </w:t>
      </w:r>
      <w:r w:rsidR="00691765" w:rsidRPr="00691765">
        <w:rPr>
          <w:rFonts w:asciiTheme="minorHAnsi" w:eastAsia="Times New Roman" w:hAnsiTheme="minorHAnsi"/>
          <w:sz w:val="22"/>
          <w:lang w:eastAsia="en-GB"/>
        </w:rPr>
        <w:t>Anonymised case studies will be included in the reporting, as appropriate, to share details of good practice.</w:t>
      </w:r>
    </w:p>
    <w:p w14:paraId="058D1393" w14:textId="77777777" w:rsidR="00A815F4" w:rsidRPr="00691765" w:rsidRDefault="00A815F4" w:rsidP="00691765">
      <w:pPr>
        <w:pStyle w:val="ListParagraph"/>
        <w:numPr>
          <w:ilvl w:val="0"/>
          <w:numId w:val="29"/>
        </w:numPr>
        <w:shd w:val="clear" w:color="auto" w:fill="FFFFFF"/>
        <w:spacing w:after="135" w:line="240" w:lineRule="auto"/>
        <w:jc w:val="both"/>
        <w:textAlignment w:val="baseline"/>
        <w:rPr>
          <w:rFonts w:asciiTheme="minorHAnsi" w:eastAsia="Times New Roman" w:hAnsiTheme="minorHAnsi"/>
          <w:color w:val="404040"/>
          <w:sz w:val="22"/>
          <w:lang w:eastAsia="en-GB"/>
        </w:rPr>
      </w:pPr>
      <w:r w:rsidRPr="00691765">
        <w:rPr>
          <w:rFonts w:asciiTheme="minorHAnsi" w:eastAsia="Times New Roman" w:hAnsiTheme="minorHAnsi"/>
          <w:sz w:val="22"/>
          <w:lang w:eastAsia="en-GB"/>
        </w:rPr>
        <w:t>All pupils will be tracked using Classroom Monitor and ongoing assessments, to ensure pupil progress is at the forefront of our approach. Pupils entitled to the Premium will be closely tracked as individuals, and comparatively against their non-PP peers; evaluation of strategies will be conducted regularly to ensure adjustments can be made to secure maximum impact</w:t>
      </w:r>
      <w:r w:rsidRPr="00691765">
        <w:rPr>
          <w:rFonts w:asciiTheme="minorHAnsi" w:eastAsia="Times New Roman" w:hAnsiTheme="minorHAnsi"/>
          <w:color w:val="404040"/>
          <w:sz w:val="22"/>
          <w:lang w:eastAsia="en-GB"/>
        </w:rPr>
        <w:t xml:space="preserve">. </w:t>
      </w:r>
    </w:p>
    <w:p w14:paraId="4C169EB9" w14:textId="0F4E8E3A" w:rsidR="00F930A3" w:rsidRPr="00691765" w:rsidRDefault="00A815F4" w:rsidP="00691765">
      <w:pPr>
        <w:pStyle w:val="ListParagraph"/>
        <w:numPr>
          <w:ilvl w:val="0"/>
          <w:numId w:val="29"/>
        </w:numPr>
        <w:shd w:val="clear" w:color="auto" w:fill="FFFFFF"/>
        <w:spacing w:after="0" w:line="240" w:lineRule="auto"/>
        <w:jc w:val="both"/>
        <w:textAlignment w:val="baseline"/>
        <w:rPr>
          <w:rFonts w:asciiTheme="minorHAnsi" w:eastAsia="Times New Roman" w:hAnsiTheme="minorHAnsi"/>
          <w:sz w:val="22"/>
          <w:lang w:eastAsia="en-GB"/>
        </w:rPr>
      </w:pPr>
      <w:r w:rsidRPr="00691765">
        <w:rPr>
          <w:rFonts w:asciiTheme="minorHAnsi" w:eastAsia="Times New Roman" w:hAnsiTheme="minorHAnsi"/>
          <w:sz w:val="22"/>
          <w:lang w:eastAsia="en-GB"/>
        </w:rPr>
        <w:t xml:space="preserve">Reports on the attainment and progress of pupils will be presented </w:t>
      </w:r>
      <w:r w:rsidR="00F60C0F">
        <w:rPr>
          <w:rFonts w:asciiTheme="minorHAnsi" w:eastAsia="Times New Roman" w:hAnsiTheme="minorHAnsi"/>
          <w:sz w:val="22"/>
          <w:lang w:eastAsia="en-GB"/>
        </w:rPr>
        <w:t>at local governing body meeting</w:t>
      </w:r>
      <w:r w:rsidR="00691765" w:rsidRPr="00691765">
        <w:rPr>
          <w:rFonts w:asciiTheme="minorHAnsi" w:eastAsia="Times New Roman" w:hAnsiTheme="minorHAnsi"/>
          <w:sz w:val="22"/>
          <w:lang w:eastAsia="en-GB"/>
        </w:rPr>
        <w:t>. Reports will also be issued to the Bellevue Place Education Trust board every half term.</w:t>
      </w:r>
    </w:p>
    <w:p w14:paraId="064793B7" w14:textId="1E300546" w:rsidR="00691765" w:rsidRPr="00272D69" w:rsidRDefault="00691765" w:rsidP="00691765">
      <w:pPr>
        <w:pStyle w:val="ListParagraph"/>
        <w:numPr>
          <w:ilvl w:val="0"/>
          <w:numId w:val="29"/>
        </w:numPr>
        <w:spacing w:after="0" w:line="240" w:lineRule="auto"/>
        <w:jc w:val="both"/>
        <w:rPr>
          <w:rFonts w:asciiTheme="minorHAnsi" w:hAnsiTheme="minorHAnsi"/>
          <w:sz w:val="22"/>
        </w:rPr>
      </w:pPr>
      <w:r w:rsidRPr="00691765">
        <w:rPr>
          <w:rFonts w:asciiTheme="minorHAnsi" w:hAnsiTheme="minorHAnsi"/>
          <w:sz w:val="22"/>
        </w:rPr>
        <w:t>The performance management system of the school explicitly references the need to secure good or better attainment and progress for all children, and highlights a sharp focus on children entitled to PP, thus ensuring the staff team is highly proficient in identifying and modifying strategies for children in their care.</w:t>
      </w:r>
    </w:p>
    <w:p w14:paraId="08674735" w14:textId="77777777" w:rsidR="00F930A3" w:rsidRPr="000E72F4" w:rsidRDefault="00B346BC" w:rsidP="00B346BC">
      <w:pPr>
        <w:tabs>
          <w:tab w:val="left" w:pos="5373"/>
        </w:tabs>
        <w:spacing w:after="0" w:line="240" w:lineRule="auto"/>
        <w:jc w:val="both"/>
      </w:pPr>
      <w:r>
        <w:tab/>
      </w:r>
    </w:p>
    <w:sectPr w:rsidR="00F930A3" w:rsidRPr="000E72F4" w:rsidSect="00003E0C">
      <w:pgSz w:w="11906" w:h="16838"/>
      <w:pgMar w:top="539" w:right="1440" w:bottom="964" w:left="1440"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65D1E" w14:textId="77777777" w:rsidR="00BF74C9" w:rsidRDefault="00BF74C9" w:rsidP="00DA0D7A">
      <w:pPr>
        <w:spacing w:after="0" w:line="240" w:lineRule="auto"/>
      </w:pPr>
      <w:r>
        <w:separator/>
      </w:r>
    </w:p>
  </w:endnote>
  <w:endnote w:type="continuationSeparator" w:id="0">
    <w:p w14:paraId="47876495" w14:textId="77777777" w:rsidR="00BF74C9" w:rsidRDefault="00BF74C9" w:rsidP="00DA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0927"/>
      <w:docPartObj>
        <w:docPartGallery w:val="Page Numbers (Bottom of Page)"/>
        <w:docPartUnique/>
      </w:docPartObj>
    </w:sdtPr>
    <w:sdtEndPr/>
    <w:sdtContent>
      <w:sdt>
        <w:sdtPr>
          <w:id w:val="2036613293"/>
          <w:docPartObj>
            <w:docPartGallery w:val="Page Numbers (Top of Page)"/>
            <w:docPartUnique/>
          </w:docPartObj>
        </w:sdtPr>
        <w:sdtEndPr/>
        <w:sdtContent>
          <w:p w14:paraId="239A1B50" w14:textId="311880E0" w:rsidR="00DD235C" w:rsidRDefault="00DD23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3F6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F69">
              <w:rPr>
                <w:b/>
                <w:bCs/>
                <w:noProof/>
              </w:rPr>
              <w:t>6</w:t>
            </w:r>
            <w:r>
              <w:rPr>
                <w:b/>
                <w:bCs/>
                <w:sz w:val="24"/>
                <w:szCs w:val="24"/>
              </w:rPr>
              <w:fldChar w:fldCharType="end"/>
            </w:r>
          </w:p>
        </w:sdtContent>
      </w:sdt>
    </w:sdtContent>
  </w:sdt>
  <w:p w14:paraId="6A168288" w14:textId="77777777" w:rsidR="00DD235C" w:rsidRDefault="00DD23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7AFD" w14:textId="77777777" w:rsidR="00DD235C" w:rsidRDefault="00BF74C9" w:rsidP="00F7723E">
    <w:pPr>
      <w:pStyle w:val="Footer"/>
      <w:jc w:val="right"/>
    </w:pPr>
    <w:hyperlink r:id="rId1" w:history="1">
      <w:r w:rsidR="00DD235C" w:rsidRPr="00CD7034">
        <w:rPr>
          <w:rStyle w:val="Hyperlink"/>
        </w:rPr>
        <w:t>www.halleyhouseschool.org.uk</w:t>
      </w:r>
    </w:hyperlink>
  </w:p>
  <w:p w14:paraId="11E63DEA" w14:textId="77777777" w:rsidR="00DD235C" w:rsidRDefault="00DD235C" w:rsidP="00F7723E">
    <w:pPr>
      <w:pStyle w:val="Footer"/>
      <w:jc w:val="right"/>
    </w:pPr>
  </w:p>
  <w:p w14:paraId="48E1F32E" w14:textId="77777777" w:rsidR="00DD235C" w:rsidRPr="0058601A" w:rsidRDefault="00DD235C" w:rsidP="00F7723E">
    <w:pPr>
      <w:pStyle w:val="Footer"/>
      <w:jc w:val="right"/>
      <w:rPr>
        <w:rFonts w:ascii="Arial" w:hAnsi="Arial" w:cs="Arial"/>
        <w:b/>
        <w:color w:val="6D6E70"/>
        <w:spacing w:val="-2"/>
        <w:sz w:val="14"/>
        <w:szCs w:val="14"/>
      </w:rPr>
    </w:pPr>
    <w:r w:rsidRPr="0058601A">
      <w:rPr>
        <w:rFonts w:ascii="Arial" w:hAnsi="Arial" w:cs="Arial"/>
        <w:b/>
        <w:color w:val="6D6E70"/>
        <w:spacing w:val="-2"/>
        <w:sz w:val="14"/>
        <w:szCs w:val="14"/>
      </w:rPr>
      <w:t>Part of the Bellevue Place Education Trust Family of Schools</w:t>
    </w:r>
  </w:p>
  <w:p w14:paraId="1F3AF5E4" w14:textId="77777777" w:rsidR="00DD235C" w:rsidRDefault="00DD235C" w:rsidP="00F7723E">
    <w:pPr>
      <w:pStyle w:val="Footer"/>
      <w:jc w:val="right"/>
      <w:rPr>
        <w:rFonts w:ascii="Arial" w:hAnsi="Arial" w:cs="Arial"/>
        <w:color w:val="6D6E70"/>
        <w:spacing w:val="-2"/>
        <w:sz w:val="14"/>
        <w:szCs w:val="14"/>
      </w:rPr>
    </w:pPr>
    <w:r w:rsidRPr="0058601A">
      <w:rPr>
        <w:rFonts w:ascii="Arial" w:hAnsi="Arial" w:cs="Arial"/>
        <w:b/>
        <w:color w:val="6D6E70"/>
        <w:spacing w:val="-2"/>
        <w:sz w:val="14"/>
        <w:szCs w:val="14"/>
      </w:rPr>
      <w:t>Registered Address:</w:t>
    </w:r>
    <w:r w:rsidRPr="0058601A">
      <w:rPr>
        <w:rFonts w:ascii="Arial" w:hAnsi="Arial" w:cs="Arial"/>
        <w:color w:val="6D6E70"/>
        <w:spacing w:val="-2"/>
        <w:sz w:val="14"/>
        <w:szCs w:val="14"/>
      </w:rPr>
      <w:t xml:space="preserve"> Bellevue Place Education Trust, C/O Rutherford House School, 217 Balham High Road, London SW17 7BS</w:t>
    </w:r>
    <w:r>
      <w:rPr>
        <w:rFonts w:ascii="Arial" w:hAnsi="Arial" w:cs="Arial"/>
        <w:color w:val="6D6E70"/>
        <w:spacing w:val="-2"/>
        <w:sz w:val="14"/>
        <w:szCs w:val="14"/>
      </w:rPr>
      <w:t xml:space="preserve">  </w:t>
    </w:r>
  </w:p>
  <w:p w14:paraId="33F7FEED" w14:textId="77777777" w:rsidR="00DD235C" w:rsidRPr="0033261E" w:rsidRDefault="00DD235C" w:rsidP="00F7723E">
    <w:pPr>
      <w:pStyle w:val="Footer"/>
      <w:jc w:val="right"/>
      <w:rPr>
        <w:rFonts w:ascii="Arial" w:hAnsi="Arial" w:cs="Arial"/>
        <w:color w:val="6D6E70"/>
        <w:spacing w:val="-2"/>
        <w:sz w:val="14"/>
        <w:szCs w:val="14"/>
      </w:rPr>
    </w:pPr>
    <w:r w:rsidRPr="0058601A">
      <w:rPr>
        <w:rFonts w:ascii="Arial" w:hAnsi="Arial" w:cs="Arial"/>
        <w:color w:val="6D6E70"/>
        <w:spacing w:val="-2"/>
        <w:sz w:val="14"/>
        <w:szCs w:val="14"/>
      </w:rPr>
      <w:t>A company limited by guarantee. Registered in England and Wales No: 07956784</w:t>
    </w:r>
  </w:p>
  <w:p w14:paraId="4BFB8E6F" w14:textId="77777777" w:rsidR="00DD235C" w:rsidRDefault="00DD235C">
    <w:pPr>
      <w:pStyle w:val="Footer"/>
    </w:pPr>
    <w:r>
      <w:rPr>
        <w:rFonts w:ascii="Arial" w:hAnsi="Arial" w:cs="Arial"/>
        <w:b/>
        <w:noProof/>
        <w:color w:val="6D6E70"/>
        <w:spacing w:val="-2"/>
        <w:sz w:val="14"/>
        <w:szCs w:val="14"/>
        <w:lang w:eastAsia="en-GB"/>
      </w:rPr>
      <w:drawing>
        <wp:anchor distT="0" distB="0" distL="114300" distR="114300" simplePos="0" relativeHeight="251660288" behindDoc="0" locked="0" layoutInCell="1" allowOverlap="1" wp14:anchorId="708BB470" wp14:editId="3A961A88">
          <wp:simplePos x="0" y="0"/>
          <wp:positionH relativeFrom="column">
            <wp:posOffset>-685800</wp:posOffset>
          </wp:positionH>
          <wp:positionV relativeFrom="paragraph">
            <wp:posOffset>-1323975</wp:posOffset>
          </wp:positionV>
          <wp:extent cx="1257300" cy="1508125"/>
          <wp:effectExtent l="0" t="0" r="12700" b="0"/>
          <wp:wrapTight wrapText="bothSides">
            <wp:wrapPolygon edited="0">
              <wp:start x="0" y="0"/>
              <wp:lineTo x="0" y="21100"/>
              <wp:lineTo x="21382" y="21100"/>
              <wp:lineTo x="21382" y="0"/>
              <wp:lineTo x="0" y="0"/>
            </wp:wrapPolygon>
          </wp:wrapT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BF1DC" w14:textId="77777777" w:rsidR="00BF74C9" w:rsidRDefault="00BF74C9" w:rsidP="00DA0D7A">
      <w:pPr>
        <w:spacing w:after="0" w:line="240" w:lineRule="auto"/>
      </w:pPr>
      <w:r>
        <w:separator/>
      </w:r>
    </w:p>
  </w:footnote>
  <w:footnote w:type="continuationSeparator" w:id="0">
    <w:p w14:paraId="280FE3BA" w14:textId="77777777" w:rsidR="00BF74C9" w:rsidRDefault="00BF74C9" w:rsidP="00DA0D7A">
      <w:pPr>
        <w:spacing w:after="0" w:line="240" w:lineRule="auto"/>
      </w:pPr>
      <w:r>
        <w:continuationSeparator/>
      </w:r>
    </w:p>
  </w:footnote>
  <w:footnote w:id="1">
    <w:p w14:paraId="2B84B856" w14:textId="77777777" w:rsidR="00DD235C" w:rsidRDefault="00DD235C" w:rsidP="00CE687D">
      <w:pPr>
        <w:pStyle w:val="FootnoteText"/>
      </w:pPr>
      <w:r>
        <w:rPr>
          <w:rStyle w:val="FootnoteReference"/>
        </w:rPr>
        <w:footnoteRef/>
      </w:r>
      <w:hyperlink r:id="rId1" w:history="1">
        <w:r w:rsidRPr="007C40E6">
          <w:rPr>
            <w:rStyle w:val="Hyperlink"/>
          </w:rPr>
          <w:t>https://www.gov.uk/government/uploads/system/uploads/attachment_data/file/413197/The_Pupil_Premium_-_How_schools_are_spending_the_funding.pdf</w:t>
        </w:r>
      </w:hyperlink>
      <w:r>
        <w:t xml:space="preserve"> </w:t>
      </w:r>
    </w:p>
  </w:footnote>
  <w:footnote w:id="2">
    <w:p w14:paraId="1DA0886C" w14:textId="77777777" w:rsidR="00DD235C" w:rsidRDefault="00DD235C" w:rsidP="008354A8">
      <w:pPr>
        <w:pStyle w:val="FootnoteText"/>
      </w:pPr>
      <w:r>
        <w:rPr>
          <w:rStyle w:val="FootnoteReference"/>
        </w:rPr>
        <w:footnoteRef/>
      </w:r>
      <w:r>
        <w:t xml:space="preserve"> </w:t>
      </w:r>
      <w:hyperlink r:id="rId2" w:history="1">
        <w:r w:rsidRPr="007C40E6">
          <w:rPr>
            <w:rStyle w:val="Hyperlink"/>
          </w:rPr>
          <w:t>https://educationendowmentfoundation.org.uk/toolkit/toolkit-a-z/</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0194" w14:textId="693FA0A2" w:rsidR="00DD235C" w:rsidRDefault="00DD235C" w:rsidP="000F0418">
    <w:pPr>
      <w:pStyle w:val="Header"/>
      <w:tabs>
        <w:tab w:val="clear" w:pos="9026"/>
        <w:tab w:val="center" w:pos="3722"/>
        <w:tab w:val="left" w:pos="6096"/>
      </w:tabs>
      <w:jc w:val="center"/>
      <w:rPr>
        <w:b/>
        <w:color w:val="00B050"/>
        <w:sz w:val="24"/>
        <w:szCs w:val="28"/>
      </w:rPr>
    </w:pPr>
  </w:p>
  <w:p w14:paraId="35C96787" w14:textId="77777777" w:rsidR="00DD235C" w:rsidRDefault="00E850FB" w:rsidP="00E850FB">
    <w:pPr>
      <w:pStyle w:val="Header"/>
      <w:tabs>
        <w:tab w:val="clear" w:pos="4513"/>
        <w:tab w:val="clear" w:pos="9026"/>
        <w:tab w:val="left" w:pos="3722"/>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1DDA" w14:textId="77777777" w:rsidR="00DD235C" w:rsidRDefault="00DD235C">
    <w:pPr>
      <w:pStyle w:val="Header"/>
    </w:pPr>
    <w:r>
      <w:rPr>
        <w:noProof/>
        <w:lang w:eastAsia="en-GB"/>
      </w:rPr>
      <w:drawing>
        <wp:anchor distT="0" distB="0" distL="114300" distR="114300" simplePos="0" relativeHeight="251659264" behindDoc="0" locked="0" layoutInCell="1" allowOverlap="1" wp14:anchorId="7E9BB308" wp14:editId="3630286D">
          <wp:simplePos x="0" y="0"/>
          <wp:positionH relativeFrom="column">
            <wp:posOffset>4343400</wp:posOffset>
          </wp:positionH>
          <wp:positionV relativeFrom="paragraph">
            <wp:posOffset>-239395</wp:posOffset>
          </wp:positionV>
          <wp:extent cx="2057400" cy="963930"/>
          <wp:effectExtent l="0" t="0" r="0" b="1270"/>
          <wp:wrapTight wrapText="bothSides">
            <wp:wrapPolygon edited="0">
              <wp:start x="0" y="0"/>
              <wp:lineTo x="0" y="21059"/>
              <wp:lineTo x="21333" y="21059"/>
              <wp:lineTo x="21333"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63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B8C"/>
    <w:multiLevelType w:val="hybridMultilevel"/>
    <w:tmpl w:val="1BD0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2C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41B8B"/>
    <w:multiLevelType w:val="hybridMultilevel"/>
    <w:tmpl w:val="C444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10586"/>
    <w:multiLevelType w:val="hybridMultilevel"/>
    <w:tmpl w:val="E06408B2"/>
    <w:lvl w:ilvl="0" w:tplc="5DB4235C">
      <w:start w:val="1"/>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A80DE0"/>
    <w:multiLevelType w:val="multilevel"/>
    <w:tmpl w:val="E750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1146F"/>
    <w:multiLevelType w:val="hybridMultilevel"/>
    <w:tmpl w:val="F092A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2193A"/>
    <w:multiLevelType w:val="multilevel"/>
    <w:tmpl w:val="D59C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A31EC4"/>
    <w:multiLevelType w:val="multilevel"/>
    <w:tmpl w:val="05A61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0B56C8"/>
    <w:multiLevelType w:val="hybridMultilevel"/>
    <w:tmpl w:val="1D3A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41DD6"/>
    <w:multiLevelType w:val="multilevel"/>
    <w:tmpl w:val="AAD2D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A23EC3"/>
    <w:multiLevelType w:val="multilevel"/>
    <w:tmpl w:val="C444E716"/>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0B59B4"/>
    <w:multiLevelType w:val="hybridMultilevel"/>
    <w:tmpl w:val="09C4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759DD"/>
    <w:multiLevelType w:val="hybridMultilevel"/>
    <w:tmpl w:val="81123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43E48"/>
    <w:multiLevelType w:val="multilevel"/>
    <w:tmpl w:val="0192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95208"/>
    <w:multiLevelType w:val="multilevel"/>
    <w:tmpl w:val="A2E8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A5D8A"/>
    <w:multiLevelType w:val="multilevel"/>
    <w:tmpl w:val="C444E716"/>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840377"/>
    <w:multiLevelType w:val="hybridMultilevel"/>
    <w:tmpl w:val="1498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33B1B"/>
    <w:multiLevelType w:val="hybridMultilevel"/>
    <w:tmpl w:val="7E54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1264A"/>
    <w:multiLevelType w:val="hybridMultilevel"/>
    <w:tmpl w:val="383E2AC0"/>
    <w:lvl w:ilvl="0" w:tplc="50A43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D029F"/>
    <w:multiLevelType w:val="hybridMultilevel"/>
    <w:tmpl w:val="CC50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76C42"/>
    <w:multiLevelType w:val="multilevel"/>
    <w:tmpl w:val="B8F6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D3F8B"/>
    <w:multiLevelType w:val="multilevel"/>
    <w:tmpl w:val="F744A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F55960"/>
    <w:multiLevelType w:val="hybridMultilevel"/>
    <w:tmpl w:val="69B47CBA"/>
    <w:lvl w:ilvl="0" w:tplc="8A9AC276">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0E2259"/>
    <w:multiLevelType w:val="hybridMultilevel"/>
    <w:tmpl w:val="F692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772B8"/>
    <w:multiLevelType w:val="multilevel"/>
    <w:tmpl w:val="A0CC463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5" w15:restartNumberingAfterBreak="0">
    <w:nsid w:val="618324DE"/>
    <w:multiLevelType w:val="hybridMultilevel"/>
    <w:tmpl w:val="3D9C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A74BE"/>
    <w:multiLevelType w:val="multilevel"/>
    <w:tmpl w:val="D09CB0E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43E659E"/>
    <w:multiLevelType w:val="multilevel"/>
    <w:tmpl w:val="3648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B749A8"/>
    <w:multiLevelType w:val="multilevel"/>
    <w:tmpl w:val="C444E716"/>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FDD34F2"/>
    <w:multiLevelType w:val="multilevel"/>
    <w:tmpl w:val="DBBC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F86060"/>
    <w:multiLevelType w:val="multilevel"/>
    <w:tmpl w:val="F6C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A50220"/>
    <w:multiLevelType w:val="hybridMultilevel"/>
    <w:tmpl w:val="611E162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3"/>
  </w:num>
  <w:num w:numId="4">
    <w:abstractNumId w:val="30"/>
  </w:num>
  <w:num w:numId="5">
    <w:abstractNumId w:val="20"/>
  </w:num>
  <w:num w:numId="6">
    <w:abstractNumId w:val="23"/>
  </w:num>
  <w:num w:numId="7">
    <w:abstractNumId w:val="25"/>
  </w:num>
  <w:num w:numId="8">
    <w:abstractNumId w:val="6"/>
  </w:num>
  <w:num w:numId="9">
    <w:abstractNumId w:val="24"/>
  </w:num>
  <w:num w:numId="10">
    <w:abstractNumId w:val="27"/>
  </w:num>
  <w:num w:numId="11">
    <w:abstractNumId w:val="4"/>
  </w:num>
  <w:num w:numId="12">
    <w:abstractNumId w:val="21"/>
  </w:num>
  <w:num w:numId="13">
    <w:abstractNumId w:val="17"/>
  </w:num>
  <w:num w:numId="14">
    <w:abstractNumId w:val="31"/>
  </w:num>
  <w:num w:numId="15">
    <w:abstractNumId w:val="8"/>
  </w:num>
  <w:num w:numId="16">
    <w:abstractNumId w:val="29"/>
  </w:num>
  <w:num w:numId="17">
    <w:abstractNumId w:val="11"/>
  </w:num>
  <w:num w:numId="18">
    <w:abstractNumId w:val="18"/>
  </w:num>
  <w:num w:numId="19">
    <w:abstractNumId w:val="9"/>
  </w:num>
  <w:num w:numId="20">
    <w:abstractNumId w:val="28"/>
  </w:num>
  <w:num w:numId="21">
    <w:abstractNumId w:val="15"/>
  </w:num>
  <w:num w:numId="22">
    <w:abstractNumId w:val="1"/>
  </w:num>
  <w:num w:numId="23">
    <w:abstractNumId w:val="7"/>
  </w:num>
  <w:num w:numId="24">
    <w:abstractNumId w:val="12"/>
  </w:num>
  <w:num w:numId="25">
    <w:abstractNumId w:val="22"/>
  </w:num>
  <w:num w:numId="26">
    <w:abstractNumId w:val="5"/>
  </w:num>
  <w:num w:numId="27">
    <w:abstractNumId w:val="19"/>
  </w:num>
  <w:num w:numId="28">
    <w:abstractNumId w:val="10"/>
  </w:num>
  <w:num w:numId="29">
    <w:abstractNumId w:val="26"/>
  </w:num>
  <w:num w:numId="30">
    <w:abstractNumId w:val="14"/>
  </w:num>
  <w:num w:numId="31">
    <w:abstractNumId w:val="1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7A"/>
    <w:rsid w:val="00000EAB"/>
    <w:rsid w:val="0000312A"/>
    <w:rsid w:val="00003E0C"/>
    <w:rsid w:val="00006FAC"/>
    <w:rsid w:val="000127B8"/>
    <w:rsid w:val="000357F3"/>
    <w:rsid w:val="00036048"/>
    <w:rsid w:val="00050FCC"/>
    <w:rsid w:val="00074165"/>
    <w:rsid w:val="00077681"/>
    <w:rsid w:val="000776A3"/>
    <w:rsid w:val="00082903"/>
    <w:rsid w:val="00087926"/>
    <w:rsid w:val="000D01E3"/>
    <w:rsid w:val="000E03E2"/>
    <w:rsid w:val="000E377E"/>
    <w:rsid w:val="000E72F4"/>
    <w:rsid w:val="000F0418"/>
    <w:rsid w:val="0010144B"/>
    <w:rsid w:val="00107792"/>
    <w:rsid w:val="00116404"/>
    <w:rsid w:val="001356D4"/>
    <w:rsid w:val="00136960"/>
    <w:rsid w:val="00153CE7"/>
    <w:rsid w:val="001550AA"/>
    <w:rsid w:val="001B14BB"/>
    <w:rsid w:val="001B3AE7"/>
    <w:rsid w:val="001C2D22"/>
    <w:rsid w:val="001E1B09"/>
    <w:rsid w:val="001E69DC"/>
    <w:rsid w:val="00203E67"/>
    <w:rsid w:val="00220616"/>
    <w:rsid w:val="00272D69"/>
    <w:rsid w:val="00282AEF"/>
    <w:rsid w:val="002D38CE"/>
    <w:rsid w:val="002F0792"/>
    <w:rsid w:val="002F5E43"/>
    <w:rsid w:val="00302731"/>
    <w:rsid w:val="00302E55"/>
    <w:rsid w:val="00306813"/>
    <w:rsid w:val="003115B5"/>
    <w:rsid w:val="003233DA"/>
    <w:rsid w:val="0033261E"/>
    <w:rsid w:val="0035083D"/>
    <w:rsid w:val="0036105A"/>
    <w:rsid w:val="00367843"/>
    <w:rsid w:val="00380BD8"/>
    <w:rsid w:val="00394CF0"/>
    <w:rsid w:val="003A0B77"/>
    <w:rsid w:val="003A151F"/>
    <w:rsid w:val="003C79A5"/>
    <w:rsid w:val="003C7E77"/>
    <w:rsid w:val="003D79A1"/>
    <w:rsid w:val="00406B98"/>
    <w:rsid w:val="00412ED2"/>
    <w:rsid w:val="004227B6"/>
    <w:rsid w:val="00426418"/>
    <w:rsid w:val="00440857"/>
    <w:rsid w:val="00442C1E"/>
    <w:rsid w:val="00460167"/>
    <w:rsid w:val="004669C4"/>
    <w:rsid w:val="004844D7"/>
    <w:rsid w:val="004879B9"/>
    <w:rsid w:val="00493F69"/>
    <w:rsid w:val="004C4904"/>
    <w:rsid w:val="004C79FA"/>
    <w:rsid w:val="004D46BC"/>
    <w:rsid w:val="004E65DE"/>
    <w:rsid w:val="004F03E2"/>
    <w:rsid w:val="004F2240"/>
    <w:rsid w:val="0051380F"/>
    <w:rsid w:val="00516478"/>
    <w:rsid w:val="00521535"/>
    <w:rsid w:val="0057404C"/>
    <w:rsid w:val="0058601A"/>
    <w:rsid w:val="005C2569"/>
    <w:rsid w:val="005E4E2C"/>
    <w:rsid w:val="00604E0B"/>
    <w:rsid w:val="0062621C"/>
    <w:rsid w:val="00632750"/>
    <w:rsid w:val="00652547"/>
    <w:rsid w:val="00652A92"/>
    <w:rsid w:val="00657AFC"/>
    <w:rsid w:val="006625DC"/>
    <w:rsid w:val="006642C8"/>
    <w:rsid w:val="006754E3"/>
    <w:rsid w:val="00676E64"/>
    <w:rsid w:val="00691765"/>
    <w:rsid w:val="0069253C"/>
    <w:rsid w:val="006A57E1"/>
    <w:rsid w:val="006D4E63"/>
    <w:rsid w:val="006E4723"/>
    <w:rsid w:val="0070121F"/>
    <w:rsid w:val="00706939"/>
    <w:rsid w:val="00733B4E"/>
    <w:rsid w:val="0075207A"/>
    <w:rsid w:val="00757F4D"/>
    <w:rsid w:val="00766A16"/>
    <w:rsid w:val="007A2626"/>
    <w:rsid w:val="007A311F"/>
    <w:rsid w:val="007A7BC2"/>
    <w:rsid w:val="007B5C90"/>
    <w:rsid w:val="007D4148"/>
    <w:rsid w:val="007E1F3E"/>
    <w:rsid w:val="007F6C3D"/>
    <w:rsid w:val="008354A8"/>
    <w:rsid w:val="0084125A"/>
    <w:rsid w:val="00844330"/>
    <w:rsid w:val="00845D12"/>
    <w:rsid w:val="00850869"/>
    <w:rsid w:val="00872EC2"/>
    <w:rsid w:val="0087616E"/>
    <w:rsid w:val="008767DD"/>
    <w:rsid w:val="00882429"/>
    <w:rsid w:val="00882F7D"/>
    <w:rsid w:val="00892610"/>
    <w:rsid w:val="008A5A88"/>
    <w:rsid w:val="008D5110"/>
    <w:rsid w:val="008D726B"/>
    <w:rsid w:val="009018DA"/>
    <w:rsid w:val="00903432"/>
    <w:rsid w:val="00906375"/>
    <w:rsid w:val="00930590"/>
    <w:rsid w:val="009377DD"/>
    <w:rsid w:val="00942BD7"/>
    <w:rsid w:val="00950E4C"/>
    <w:rsid w:val="00952387"/>
    <w:rsid w:val="00960A5C"/>
    <w:rsid w:val="00973554"/>
    <w:rsid w:val="009928A6"/>
    <w:rsid w:val="009B19AA"/>
    <w:rsid w:val="009B6507"/>
    <w:rsid w:val="009C18D7"/>
    <w:rsid w:val="009C4D56"/>
    <w:rsid w:val="009D5BB4"/>
    <w:rsid w:val="00A14689"/>
    <w:rsid w:val="00A350AB"/>
    <w:rsid w:val="00A42966"/>
    <w:rsid w:val="00A774D2"/>
    <w:rsid w:val="00A815F4"/>
    <w:rsid w:val="00A819FA"/>
    <w:rsid w:val="00AA2CD4"/>
    <w:rsid w:val="00AA2D8E"/>
    <w:rsid w:val="00AB21B1"/>
    <w:rsid w:val="00AB4CA1"/>
    <w:rsid w:val="00AE016C"/>
    <w:rsid w:val="00AE425D"/>
    <w:rsid w:val="00AF107C"/>
    <w:rsid w:val="00B11D5A"/>
    <w:rsid w:val="00B30B78"/>
    <w:rsid w:val="00B346BC"/>
    <w:rsid w:val="00B4622C"/>
    <w:rsid w:val="00B4691A"/>
    <w:rsid w:val="00B47184"/>
    <w:rsid w:val="00B5069E"/>
    <w:rsid w:val="00B67FED"/>
    <w:rsid w:val="00BA0E96"/>
    <w:rsid w:val="00BD610B"/>
    <w:rsid w:val="00BE6ED7"/>
    <w:rsid w:val="00BF0EA4"/>
    <w:rsid w:val="00BF74C9"/>
    <w:rsid w:val="00C169F9"/>
    <w:rsid w:val="00C17545"/>
    <w:rsid w:val="00C45C89"/>
    <w:rsid w:val="00C6785D"/>
    <w:rsid w:val="00C74B70"/>
    <w:rsid w:val="00C92115"/>
    <w:rsid w:val="00C92DE6"/>
    <w:rsid w:val="00CA4499"/>
    <w:rsid w:val="00CC5C52"/>
    <w:rsid w:val="00CE3BFE"/>
    <w:rsid w:val="00CE687D"/>
    <w:rsid w:val="00D070DF"/>
    <w:rsid w:val="00D301A7"/>
    <w:rsid w:val="00D51253"/>
    <w:rsid w:val="00D66109"/>
    <w:rsid w:val="00D76DB2"/>
    <w:rsid w:val="00D774DF"/>
    <w:rsid w:val="00D87C4C"/>
    <w:rsid w:val="00DA0D7A"/>
    <w:rsid w:val="00DD235C"/>
    <w:rsid w:val="00DD7C24"/>
    <w:rsid w:val="00DE2143"/>
    <w:rsid w:val="00E031C2"/>
    <w:rsid w:val="00E11F41"/>
    <w:rsid w:val="00E63183"/>
    <w:rsid w:val="00E640C3"/>
    <w:rsid w:val="00E72C71"/>
    <w:rsid w:val="00E83CC9"/>
    <w:rsid w:val="00E850FB"/>
    <w:rsid w:val="00EB5367"/>
    <w:rsid w:val="00ED19F8"/>
    <w:rsid w:val="00ED67FA"/>
    <w:rsid w:val="00F03946"/>
    <w:rsid w:val="00F1415E"/>
    <w:rsid w:val="00F22E48"/>
    <w:rsid w:val="00F31758"/>
    <w:rsid w:val="00F3595F"/>
    <w:rsid w:val="00F41C0E"/>
    <w:rsid w:val="00F60C0F"/>
    <w:rsid w:val="00F70483"/>
    <w:rsid w:val="00F7723E"/>
    <w:rsid w:val="00F922C8"/>
    <w:rsid w:val="00F930A3"/>
    <w:rsid w:val="00FA2EE8"/>
    <w:rsid w:val="00FB5CDA"/>
    <w:rsid w:val="00FC51F2"/>
    <w:rsid w:val="00FF61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69ABF"/>
  <w15:docId w15:val="{4E0361C1-DAE2-4489-926D-609FC877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50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350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D7A"/>
  </w:style>
  <w:style w:type="paragraph" w:styleId="Footer">
    <w:name w:val="footer"/>
    <w:basedOn w:val="Normal"/>
    <w:link w:val="FooterChar"/>
    <w:uiPriority w:val="99"/>
    <w:unhideWhenUsed/>
    <w:rsid w:val="00DA0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7A"/>
  </w:style>
  <w:style w:type="paragraph" w:styleId="BalloonText">
    <w:name w:val="Balloon Text"/>
    <w:basedOn w:val="Normal"/>
    <w:link w:val="BalloonTextChar"/>
    <w:uiPriority w:val="99"/>
    <w:semiHidden/>
    <w:unhideWhenUsed/>
    <w:rsid w:val="00DA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7A"/>
    <w:rPr>
      <w:rFonts w:ascii="Tahoma" w:hAnsi="Tahoma" w:cs="Tahoma"/>
      <w:sz w:val="16"/>
      <w:szCs w:val="16"/>
    </w:rPr>
  </w:style>
  <w:style w:type="paragraph" w:customStyle="1" w:styleId="BasicParagraph">
    <w:name w:val="[Basic Paragraph]"/>
    <w:basedOn w:val="Normal"/>
    <w:uiPriority w:val="99"/>
    <w:rsid w:val="00DA0D7A"/>
    <w:pPr>
      <w:widowControl w:val="0"/>
      <w:autoSpaceDE w:val="0"/>
      <w:autoSpaceDN w:val="0"/>
      <w:adjustRightInd w:val="0"/>
      <w:spacing w:line="288" w:lineRule="auto"/>
      <w:textAlignment w:val="center"/>
    </w:pPr>
    <w:rPr>
      <w:rFonts w:ascii="Times-Roman" w:eastAsia="Calibri" w:hAnsi="Times-Roman" w:cs="Times-Roman"/>
      <w:color w:val="000000"/>
    </w:rPr>
  </w:style>
  <w:style w:type="character" w:styleId="Hyperlink">
    <w:name w:val="Hyperlink"/>
    <w:basedOn w:val="DefaultParagraphFont"/>
    <w:uiPriority w:val="99"/>
    <w:unhideWhenUsed/>
    <w:rsid w:val="00952387"/>
    <w:rPr>
      <w:color w:val="0000FF"/>
      <w:u w:val="single"/>
    </w:rPr>
  </w:style>
  <w:style w:type="paragraph" w:styleId="ListParagraph">
    <w:name w:val="List Paragraph"/>
    <w:basedOn w:val="Normal"/>
    <w:uiPriority w:val="34"/>
    <w:qFormat/>
    <w:rsid w:val="00766A16"/>
    <w:pPr>
      <w:ind w:left="720"/>
      <w:contextualSpacing/>
    </w:pPr>
    <w:rPr>
      <w:rFonts w:ascii="Helvetica" w:hAnsi="Helvetica" w:cs="Helvetica"/>
      <w:sz w:val="24"/>
    </w:rPr>
  </w:style>
  <w:style w:type="table" w:styleId="TableGrid">
    <w:name w:val="Table Grid"/>
    <w:basedOn w:val="TableNormal"/>
    <w:rsid w:val="00302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3115B5"/>
    <w:pPr>
      <w:spacing w:after="0" w:line="240" w:lineRule="auto"/>
      <w:outlineLvl w:val="0"/>
    </w:pPr>
    <w:rPr>
      <w:rFonts w:ascii="Times New Roman" w:eastAsia="Arial Unicode MS" w:hAnsi="Times New Roman" w:cs="Times New Roman"/>
      <w:color w:val="000000"/>
      <w:sz w:val="24"/>
      <w:szCs w:val="20"/>
      <w:u w:color="000000"/>
      <w:lang w:eastAsia="en-GB"/>
    </w:rPr>
  </w:style>
  <w:style w:type="character" w:styleId="Emphasis">
    <w:name w:val="Emphasis"/>
    <w:basedOn w:val="DefaultParagraphFont"/>
    <w:uiPriority w:val="20"/>
    <w:qFormat/>
    <w:rsid w:val="007E1F3E"/>
    <w:rPr>
      <w:i/>
      <w:iCs/>
    </w:rPr>
  </w:style>
  <w:style w:type="character" w:styleId="Strong">
    <w:name w:val="Strong"/>
    <w:basedOn w:val="DefaultParagraphFont"/>
    <w:uiPriority w:val="22"/>
    <w:qFormat/>
    <w:rsid w:val="00ED67FA"/>
    <w:rPr>
      <w:b/>
      <w:bCs/>
    </w:rPr>
  </w:style>
  <w:style w:type="paragraph" w:styleId="NormalWeb">
    <w:name w:val="Normal (Web)"/>
    <w:basedOn w:val="Normal"/>
    <w:uiPriority w:val="99"/>
    <w:semiHidden/>
    <w:unhideWhenUsed/>
    <w:rsid w:val="00ED67FA"/>
    <w:pPr>
      <w:spacing w:before="100" w:beforeAutospacing="1" w:after="225" w:line="360" w:lineRule="atLeast"/>
    </w:pPr>
    <w:rPr>
      <w:rFonts w:ascii="Times New Roman" w:eastAsia="Times New Roman" w:hAnsi="Times New Roman" w:cs="Times New Roman"/>
      <w:sz w:val="24"/>
      <w:szCs w:val="24"/>
      <w:lang w:eastAsia="en-GB"/>
    </w:rPr>
  </w:style>
  <w:style w:type="paragraph" w:customStyle="1" w:styleId="lbi-element-normal">
    <w:name w:val="lbi-element-normal"/>
    <w:basedOn w:val="Normal"/>
    <w:rsid w:val="00ED67FA"/>
    <w:pPr>
      <w:spacing w:before="100" w:beforeAutospacing="1" w:after="225" w:line="360"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92DE6"/>
    <w:rPr>
      <w:sz w:val="18"/>
      <w:szCs w:val="18"/>
    </w:rPr>
  </w:style>
  <w:style w:type="paragraph" w:styleId="CommentText">
    <w:name w:val="annotation text"/>
    <w:basedOn w:val="Normal"/>
    <w:link w:val="CommentTextChar"/>
    <w:uiPriority w:val="99"/>
    <w:semiHidden/>
    <w:unhideWhenUsed/>
    <w:rsid w:val="00C92DE6"/>
    <w:pPr>
      <w:spacing w:line="240" w:lineRule="auto"/>
    </w:pPr>
    <w:rPr>
      <w:sz w:val="24"/>
      <w:szCs w:val="24"/>
    </w:rPr>
  </w:style>
  <w:style w:type="character" w:customStyle="1" w:styleId="CommentTextChar">
    <w:name w:val="Comment Text Char"/>
    <w:basedOn w:val="DefaultParagraphFont"/>
    <w:link w:val="CommentText"/>
    <w:uiPriority w:val="99"/>
    <w:semiHidden/>
    <w:rsid w:val="00C92DE6"/>
    <w:rPr>
      <w:sz w:val="24"/>
      <w:szCs w:val="24"/>
    </w:rPr>
  </w:style>
  <w:style w:type="paragraph" w:styleId="CommentSubject">
    <w:name w:val="annotation subject"/>
    <w:basedOn w:val="CommentText"/>
    <w:next w:val="CommentText"/>
    <w:link w:val="CommentSubjectChar"/>
    <w:uiPriority w:val="99"/>
    <w:semiHidden/>
    <w:unhideWhenUsed/>
    <w:rsid w:val="00C92DE6"/>
    <w:rPr>
      <w:b/>
      <w:bCs/>
      <w:sz w:val="20"/>
      <w:szCs w:val="20"/>
    </w:rPr>
  </w:style>
  <w:style w:type="character" w:customStyle="1" w:styleId="CommentSubjectChar">
    <w:name w:val="Comment Subject Char"/>
    <w:basedOn w:val="CommentTextChar"/>
    <w:link w:val="CommentSubject"/>
    <w:uiPriority w:val="99"/>
    <w:semiHidden/>
    <w:rsid w:val="00C92DE6"/>
    <w:rPr>
      <w:b/>
      <w:bCs/>
      <w:sz w:val="20"/>
      <w:szCs w:val="20"/>
    </w:rPr>
  </w:style>
  <w:style w:type="character" w:styleId="FollowedHyperlink">
    <w:name w:val="FollowedHyperlink"/>
    <w:basedOn w:val="DefaultParagraphFont"/>
    <w:uiPriority w:val="99"/>
    <w:semiHidden/>
    <w:unhideWhenUsed/>
    <w:rsid w:val="00EB5367"/>
    <w:rPr>
      <w:color w:val="800080" w:themeColor="followedHyperlink"/>
      <w:u w:val="single"/>
    </w:rPr>
  </w:style>
  <w:style w:type="paragraph" w:styleId="FootnoteText">
    <w:name w:val="footnote text"/>
    <w:basedOn w:val="Normal"/>
    <w:link w:val="FootnoteTextChar"/>
    <w:uiPriority w:val="99"/>
    <w:semiHidden/>
    <w:unhideWhenUsed/>
    <w:rsid w:val="00D76D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DB2"/>
    <w:rPr>
      <w:sz w:val="20"/>
      <w:szCs w:val="20"/>
    </w:rPr>
  </w:style>
  <w:style w:type="character" w:styleId="FootnoteReference">
    <w:name w:val="footnote reference"/>
    <w:basedOn w:val="DefaultParagraphFont"/>
    <w:uiPriority w:val="99"/>
    <w:semiHidden/>
    <w:unhideWhenUsed/>
    <w:rsid w:val="00D76DB2"/>
    <w:rPr>
      <w:vertAlign w:val="superscript"/>
    </w:rPr>
  </w:style>
  <w:style w:type="character" w:customStyle="1" w:styleId="Heading2Char">
    <w:name w:val="Heading 2 Char"/>
    <w:basedOn w:val="DefaultParagraphFont"/>
    <w:link w:val="Heading2"/>
    <w:uiPriority w:val="9"/>
    <w:rsid w:val="00A350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350AB"/>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A350AB"/>
  </w:style>
  <w:style w:type="table" w:customStyle="1" w:styleId="TableGrid1">
    <w:name w:val="Table Grid1"/>
    <w:basedOn w:val="TableNormal"/>
    <w:next w:val="TableGrid"/>
    <w:uiPriority w:val="59"/>
    <w:rsid w:val="003C7E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2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3806">
      <w:bodyDiv w:val="1"/>
      <w:marLeft w:val="0"/>
      <w:marRight w:val="0"/>
      <w:marTop w:val="0"/>
      <w:marBottom w:val="0"/>
      <w:divBdr>
        <w:top w:val="none" w:sz="0" w:space="0" w:color="auto"/>
        <w:left w:val="none" w:sz="0" w:space="0" w:color="auto"/>
        <w:bottom w:val="none" w:sz="0" w:space="0" w:color="auto"/>
        <w:right w:val="none" w:sz="0" w:space="0" w:color="auto"/>
      </w:divBdr>
    </w:div>
    <w:div w:id="132672881">
      <w:bodyDiv w:val="1"/>
      <w:marLeft w:val="0"/>
      <w:marRight w:val="0"/>
      <w:marTop w:val="0"/>
      <w:marBottom w:val="0"/>
      <w:divBdr>
        <w:top w:val="none" w:sz="0" w:space="0" w:color="auto"/>
        <w:left w:val="none" w:sz="0" w:space="0" w:color="auto"/>
        <w:bottom w:val="none" w:sz="0" w:space="0" w:color="auto"/>
        <w:right w:val="none" w:sz="0" w:space="0" w:color="auto"/>
      </w:divBdr>
    </w:div>
    <w:div w:id="458305667">
      <w:bodyDiv w:val="1"/>
      <w:marLeft w:val="0"/>
      <w:marRight w:val="0"/>
      <w:marTop w:val="0"/>
      <w:marBottom w:val="0"/>
      <w:divBdr>
        <w:top w:val="none" w:sz="0" w:space="0" w:color="auto"/>
        <w:left w:val="none" w:sz="0" w:space="0" w:color="auto"/>
        <w:bottom w:val="none" w:sz="0" w:space="0" w:color="auto"/>
        <w:right w:val="none" w:sz="0" w:space="0" w:color="auto"/>
      </w:divBdr>
      <w:divsChild>
        <w:div w:id="83650491">
          <w:marLeft w:val="0"/>
          <w:marRight w:val="0"/>
          <w:marTop w:val="0"/>
          <w:marBottom w:val="0"/>
          <w:divBdr>
            <w:top w:val="none" w:sz="0" w:space="0" w:color="auto"/>
            <w:left w:val="none" w:sz="0" w:space="0" w:color="auto"/>
            <w:bottom w:val="none" w:sz="0" w:space="0" w:color="auto"/>
            <w:right w:val="none" w:sz="0" w:space="0" w:color="auto"/>
          </w:divBdr>
          <w:divsChild>
            <w:div w:id="2072799816">
              <w:marLeft w:val="0"/>
              <w:marRight w:val="0"/>
              <w:marTop w:val="0"/>
              <w:marBottom w:val="0"/>
              <w:divBdr>
                <w:top w:val="none" w:sz="0" w:space="0" w:color="auto"/>
                <w:left w:val="none" w:sz="0" w:space="0" w:color="auto"/>
                <w:bottom w:val="none" w:sz="0" w:space="0" w:color="auto"/>
                <w:right w:val="none" w:sz="0" w:space="0" w:color="auto"/>
              </w:divBdr>
              <w:divsChild>
                <w:div w:id="1462067660">
                  <w:marLeft w:val="0"/>
                  <w:marRight w:val="0"/>
                  <w:marTop w:val="0"/>
                  <w:marBottom w:val="0"/>
                  <w:divBdr>
                    <w:top w:val="none" w:sz="0" w:space="0" w:color="auto"/>
                    <w:left w:val="none" w:sz="0" w:space="0" w:color="auto"/>
                    <w:bottom w:val="none" w:sz="0" w:space="0" w:color="auto"/>
                    <w:right w:val="none" w:sz="0" w:space="0" w:color="auto"/>
                  </w:divBdr>
                  <w:divsChild>
                    <w:div w:id="977414406">
                      <w:marLeft w:val="0"/>
                      <w:marRight w:val="0"/>
                      <w:marTop w:val="0"/>
                      <w:marBottom w:val="0"/>
                      <w:divBdr>
                        <w:top w:val="none" w:sz="0" w:space="0" w:color="auto"/>
                        <w:left w:val="none" w:sz="0" w:space="0" w:color="auto"/>
                        <w:bottom w:val="none" w:sz="0" w:space="0" w:color="auto"/>
                        <w:right w:val="none" w:sz="0" w:space="0" w:color="auto"/>
                      </w:divBdr>
                      <w:divsChild>
                        <w:div w:id="1610547862">
                          <w:marLeft w:val="0"/>
                          <w:marRight w:val="0"/>
                          <w:marTop w:val="0"/>
                          <w:marBottom w:val="0"/>
                          <w:divBdr>
                            <w:top w:val="none" w:sz="0" w:space="0" w:color="auto"/>
                            <w:left w:val="none" w:sz="0" w:space="0" w:color="auto"/>
                            <w:bottom w:val="none" w:sz="0" w:space="0" w:color="auto"/>
                            <w:right w:val="none" w:sz="0" w:space="0" w:color="auto"/>
                          </w:divBdr>
                          <w:divsChild>
                            <w:div w:id="1168208870">
                              <w:marLeft w:val="2325"/>
                              <w:marRight w:val="0"/>
                              <w:marTop w:val="0"/>
                              <w:marBottom w:val="0"/>
                              <w:divBdr>
                                <w:top w:val="none" w:sz="0" w:space="0" w:color="auto"/>
                                <w:left w:val="none" w:sz="0" w:space="0" w:color="auto"/>
                                <w:bottom w:val="none" w:sz="0" w:space="0" w:color="auto"/>
                                <w:right w:val="none" w:sz="0" w:space="0" w:color="auto"/>
                              </w:divBdr>
                              <w:divsChild>
                                <w:div w:id="1779792312">
                                  <w:marLeft w:val="0"/>
                                  <w:marRight w:val="0"/>
                                  <w:marTop w:val="0"/>
                                  <w:marBottom w:val="0"/>
                                  <w:divBdr>
                                    <w:top w:val="none" w:sz="0" w:space="0" w:color="auto"/>
                                    <w:left w:val="none" w:sz="0" w:space="0" w:color="auto"/>
                                    <w:bottom w:val="none" w:sz="0" w:space="0" w:color="auto"/>
                                    <w:right w:val="none" w:sz="0" w:space="0" w:color="auto"/>
                                  </w:divBdr>
                                  <w:divsChild>
                                    <w:div w:id="478959338">
                                      <w:marLeft w:val="0"/>
                                      <w:marRight w:val="0"/>
                                      <w:marTop w:val="0"/>
                                      <w:marBottom w:val="0"/>
                                      <w:divBdr>
                                        <w:top w:val="none" w:sz="0" w:space="0" w:color="auto"/>
                                        <w:left w:val="none" w:sz="0" w:space="0" w:color="auto"/>
                                        <w:bottom w:val="none" w:sz="0" w:space="0" w:color="auto"/>
                                        <w:right w:val="none" w:sz="0" w:space="0" w:color="auto"/>
                                      </w:divBdr>
                                      <w:divsChild>
                                        <w:div w:id="527377151">
                                          <w:marLeft w:val="0"/>
                                          <w:marRight w:val="0"/>
                                          <w:marTop w:val="0"/>
                                          <w:marBottom w:val="0"/>
                                          <w:divBdr>
                                            <w:top w:val="none" w:sz="0" w:space="0" w:color="auto"/>
                                            <w:left w:val="none" w:sz="0" w:space="0" w:color="auto"/>
                                            <w:bottom w:val="none" w:sz="0" w:space="0" w:color="auto"/>
                                            <w:right w:val="none" w:sz="0" w:space="0" w:color="auto"/>
                                          </w:divBdr>
                                          <w:divsChild>
                                            <w:div w:id="343022665">
                                              <w:marLeft w:val="0"/>
                                              <w:marRight w:val="0"/>
                                              <w:marTop w:val="0"/>
                                              <w:marBottom w:val="0"/>
                                              <w:divBdr>
                                                <w:top w:val="none" w:sz="0" w:space="0" w:color="auto"/>
                                                <w:left w:val="none" w:sz="0" w:space="0" w:color="auto"/>
                                                <w:bottom w:val="none" w:sz="0" w:space="0" w:color="auto"/>
                                                <w:right w:val="none" w:sz="0" w:space="0" w:color="auto"/>
                                              </w:divBdr>
                                              <w:divsChild>
                                                <w:div w:id="1625506271">
                                                  <w:marLeft w:val="0"/>
                                                  <w:marRight w:val="0"/>
                                                  <w:marTop w:val="75"/>
                                                  <w:marBottom w:val="0"/>
                                                  <w:divBdr>
                                                    <w:top w:val="none" w:sz="0" w:space="0" w:color="auto"/>
                                                    <w:left w:val="none" w:sz="0" w:space="0" w:color="auto"/>
                                                    <w:bottom w:val="none" w:sz="0" w:space="0" w:color="auto"/>
                                                    <w:right w:val="none" w:sz="0" w:space="0" w:color="auto"/>
                                                  </w:divBdr>
                                                  <w:divsChild>
                                                    <w:div w:id="667637061">
                                                      <w:marLeft w:val="0"/>
                                                      <w:marRight w:val="0"/>
                                                      <w:marTop w:val="0"/>
                                                      <w:marBottom w:val="0"/>
                                                      <w:divBdr>
                                                        <w:top w:val="none" w:sz="0" w:space="0" w:color="auto"/>
                                                        <w:left w:val="none" w:sz="0" w:space="0" w:color="auto"/>
                                                        <w:bottom w:val="none" w:sz="0" w:space="0" w:color="auto"/>
                                                        <w:right w:val="none" w:sz="0" w:space="0" w:color="auto"/>
                                                      </w:divBdr>
                                                      <w:divsChild>
                                                        <w:div w:id="1748727612">
                                                          <w:marLeft w:val="0"/>
                                                          <w:marRight w:val="0"/>
                                                          <w:marTop w:val="0"/>
                                                          <w:marBottom w:val="0"/>
                                                          <w:divBdr>
                                                            <w:top w:val="none" w:sz="0" w:space="0" w:color="auto"/>
                                                            <w:left w:val="none" w:sz="0" w:space="0" w:color="auto"/>
                                                            <w:bottom w:val="none" w:sz="0" w:space="0" w:color="auto"/>
                                                            <w:right w:val="none" w:sz="0" w:space="0" w:color="auto"/>
                                                          </w:divBdr>
                                                        </w:div>
                                                        <w:div w:id="19515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361830">
      <w:bodyDiv w:val="1"/>
      <w:marLeft w:val="0"/>
      <w:marRight w:val="0"/>
      <w:marTop w:val="0"/>
      <w:marBottom w:val="0"/>
      <w:divBdr>
        <w:top w:val="none" w:sz="0" w:space="0" w:color="auto"/>
        <w:left w:val="none" w:sz="0" w:space="0" w:color="auto"/>
        <w:bottom w:val="none" w:sz="0" w:space="0" w:color="auto"/>
        <w:right w:val="none" w:sz="0" w:space="0" w:color="auto"/>
      </w:divBdr>
    </w:div>
    <w:div w:id="632636989">
      <w:bodyDiv w:val="1"/>
      <w:marLeft w:val="0"/>
      <w:marRight w:val="0"/>
      <w:marTop w:val="0"/>
      <w:marBottom w:val="0"/>
      <w:divBdr>
        <w:top w:val="none" w:sz="0" w:space="0" w:color="auto"/>
        <w:left w:val="none" w:sz="0" w:space="0" w:color="auto"/>
        <w:bottom w:val="none" w:sz="0" w:space="0" w:color="auto"/>
        <w:right w:val="none" w:sz="0" w:space="0" w:color="auto"/>
      </w:divBdr>
    </w:div>
    <w:div w:id="791048432">
      <w:bodyDiv w:val="1"/>
      <w:marLeft w:val="0"/>
      <w:marRight w:val="0"/>
      <w:marTop w:val="0"/>
      <w:marBottom w:val="0"/>
      <w:divBdr>
        <w:top w:val="none" w:sz="0" w:space="0" w:color="auto"/>
        <w:left w:val="none" w:sz="0" w:space="0" w:color="auto"/>
        <w:bottom w:val="none" w:sz="0" w:space="0" w:color="auto"/>
        <w:right w:val="none" w:sz="0" w:space="0" w:color="auto"/>
      </w:divBdr>
    </w:div>
    <w:div w:id="909535693">
      <w:bodyDiv w:val="1"/>
      <w:marLeft w:val="0"/>
      <w:marRight w:val="0"/>
      <w:marTop w:val="0"/>
      <w:marBottom w:val="0"/>
      <w:divBdr>
        <w:top w:val="none" w:sz="0" w:space="0" w:color="auto"/>
        <w:left w:val="none" w:sz="0" w:space="0" w:color="auto"/>
        <w:bottom w:val="none" w:sz="0" w:space="0" w:color="auto"/>
        <w:right w:val="none" w:sz="0" w:space="0" w:color="auto"/>
      </w:divBdr>
    </w:div>
    <w:div w:id="1020742606">
      <w:bodyDiv w:val="1"/>
      <w:marLeft w:val="0"/>
      <w:marRight w:val="0"/>
      <w:marTop w:val="0"/>
      <w:marBottom w:val="0"/>
      <w:divBdr>
        <w:top w:val="none" w:sz="0" w:space="0" w:color="auto"/>
        <w:left w:val="none" w:sz="0" w:space="0" w:color="auto"/>
        <w:bottom w:val="none" w:sz="0" w:space="0" w:color="auto"/>
        <w:right w:val="none" w:sz="0" w:space="0" w:color="auto"/>
      </w:divBdr>
    </w:div>
    <w:div w:id="1111705482">
      <w:bodyDiv w:val="1"/>
      <w:marLeft w:val="0"/>
      <w:marRight w:val="0"/>
      <w:marTop w:val="0"/>
      <w:marBottom w:val="0"/>
      <w:divBdr>
        <w:top w:val="none" w:sz="0" w:space="0" w:color="auto"/>
        <w:left w:val="none" w:sz="0" w:space="0" w:color="auto"/>
        <w:bottom w:val="none" w:sz="0" w:space="0" w:color="auto"/>
        <w:right w:val="none" w:sz="0" w:space="0" w:color="auto"/>
      </w:divBdr>
    </w:div>
    <w:div w:id="1208025703">
      <w:bodyDiv w:val="1"/>
      <w:marLeft w:val="0"/>
      <w:marRight w:val="0"/>
      <w:marTop w:val="0"/>
      <w:marBottom w:val="0"/>
      <w:divBdr>
        <w:top w:val="none" w:sz="0" w:space="0" w:color="auto"/>
        <w:left w:val="none" w:sz="0" w:space="0" w:color="auto"/>
        <w:bottom w:val="none" w:sz="0" w:space="0" w:color="auto"/>
        <w:right w:val="none" w:sz="0" w:space="0" w:color="auto"/>
      </w:divBdr>
    </w:div>
    <w:div w:id="1484275061">
      <w:bodyDiv w:val="1"/>
      <w:marLeft w:val="0"/>
      <w:marRight w:val="0"/>
      <w:marTop w:val="0"/>
      <w:marBottom w:val="0"/>
      <w:divBdr>
        <w:top w:val="none" w:sz="0" w:space="0" w:color="auto"/>
        <w:left w:val="none" w:sz="0" w:space="0" w:color="auto"/>
        <w:bottom w:val="none" w:sz="0" w:space="0" w:color="auto"/>
        <w:right w:val="none" w:sz="0" w:space="0" w:color="auto"/>
      </w:divBdr>
    </w:div>
    <w:div w:id="1589651235">
      <w:bodyDiv w:val="1"/>
      <w:marLeft w:val="0"/>
      <w:marRight w:val="0"/>
      <w:marTop w:val="0"/>
      <w:marBottom w:val="0"/>
      <w:divBdr>
        <w:top w:val="none" w:sz="0" w:space="0" w:color="auto"/>
        <w:left w:val="none" w:sz="0" w:space="0" w:color="auto"/>
        <w:bottom w:val="none" w:sz="0" w:space="0" w:color="auto"/>
        <w:right w:val="none" w:sz="0" w:space="0" w:color="auto"/>
      </w:divBdr>
    </w:div>
    <w:div w:id="1954244146">
      <w:bodyDiv w:val="1"/>
      <w:marLeft w:val="0"/>
      <w:marRight w:val="0"/>
      <w:marTop w:val="0"/>
      <w:marBottom w:val="0"/>
      <w:divBdr>
        <w:top w:val="none" w:sz="0" w:space="0" w:color="auto"/>
        <w:left w:val="none" w:sz="0" w:space="0" w:color="auto"/>
        <w:bottom w:val="none" w:sz="0" w:space="0" w:color="auto"/>
        <w:right w:val="none" w:sz="0" w:space="0" w:color="auto"/>
      </w:divBdr>
    </w:div>
    <w:div w:id="20377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alleyhouseschool.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ducationendowmentfoundation.org.uk/toolkit/toolkit-a-z/" TargetMode="External"/><Relationship Id="rId1" Type="http://schemas.openxmlformats.org/officeDocument/2006/relationships/hyperlink" Target="https://www.gov.uk/government/uploads/system/uploads/attachment_data/file/413197/The_Pupil_Premium_-_How_schools_are_spending_the_fundi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5D1BA-830F-422D-9188-B8965100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SarahAMF</dc:creator>
  <cp:lastModifiedBy>Mark Greatrex</cp:lastModifiedBy>
  <cp:revision>3</cp:revision>
  <cp:lastPrinted>2015-04-09T13:23:00Z</cp:lastPrinted>
  <dcterms:created xsi:type="dcterms:W3CDTF">2016-03-17T12:25:00Z</dcterms:created>
  <dcterms:modified xsi:type="dcterms:W3CDTF">2016-03-18T09:26:00Z</dcterms:modified>
</cp:coreProperties>
</file>